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1EC4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22BD8CF5">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700" w:lineRule="exact"/>
        <w:ind w:right="267" w:rightChars="127"/>
        <w:jc w:val="center"/>
        <w:textAlignment w:val="auto"/>
        <w:rPr>
          <w:rFonts w:hint="eastAsia" w:ascii="宋体" w:hAnsi="宋体" w:eastAsia="宋体" w:cs="宋体"/>
          <w:b/>
          <w:bCs/>
          <w:color w:val="auto"/>
          <w:sz w:val="52"/>
          <w:szCs w:val="52"/>
          <w:highlight w:val="none"/>
          <w:lang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r>
        <w:rPr>
          <w:rFonts w:hint="eastAsia" w:ascii="宋体" w:hAnsi="宋体" w:eastAsia="宋体" w:cs="宋体"/>
          <w:b/>
          <w:bCs/>
          <w:color w:val="auto"/>
          <w:sz w:val="52"/>
          <w:szCs w:val="52"/>
          <w:highlight w:val="none"/>
        </w:rPr>
        <w:t>公开招标文件示范文本</w:t>
      </w:r>
      <w:bookmarkEnd w:id="0"/>
    </w:p>
    <w:p w14:paraId="65713D59">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2024年版</w:t>
      </w:r>
      <w:r>
        <w:rPr>
          <w:rFonts w:hint="eastAsia" w:ascii="宋体" w:hAnsi="宋体" w:eastAsia="宋体" w:cs="宋体"/>
          <w:b/>
          <w:bCs/>
          <w:color w:val="auto"/>
          <w:sz w:val="52"/>
          <w:szCs w:val="52"/>
          <w:highlight w:val="none"/>
          <w:lang w:eastAsia="zh-CN"/>
        </w:rPr>
        <w:t>）</w:t>
      </w:r>
    </w:p>
    <w:p w14:paraId="4B366C3E">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74BB114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917B6C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0238876D">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C12B4E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42A30E6C">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20"/>
          <w:kern w:val="0"/>
          <w:sz w:val="32"/>
          <w:szCs w:val="32"/>
          <w:highlight w:val="none"/>
          <w:u w:val="single"/>
          <w:lang w:val="en-US" w:eastAsia="zh-CN"/>
        </w:rPr>
        <w:t>滁州市卫生监督在线监测平台运维（2026年）项目（二次）</w:t>
      </w:r>
    </w:p>
    <w:p w14:paraId="7A457A3A">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eastAsia="zh-CN"/>
        </w:rPr>
        <w:t>CZCDC-BGS-2026002</w:t>
      </w:r>
    </w:p>
    <w:p w14:paraId="3ECD9FA6">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val="en-US" w:eastAsia="zh-CN"/>
        </w:rPr>
        <w:t>滁州市疾病预防控制中心</w:t>
      </w:r>
    </w:p>
    <w:p w14:paraId="7736FB99">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安徽泓樾工程项目管理有限公司</w:t>
      </w:r>
    </w:p>
    <w:p w14:paraId="1CEBE927">
      <w:pPr>
        <w:tabs>
          <w:tab w:val="left" w:pos="2410"/>
        </w:tabs>
        <w:autoSpaceDE w:val="0"/>
        <w:autoSpaceDN w:val="0"/>
        <w:adjustRightInd w:val="0"/>
        <w:snapToGrid w:val="0"/>
        <w:spacing w:line="360" w:lineRule="auto"/>
        <w:ind w:firstLine="723" w:firstLineChars="200"/>
        <w:jc w:val="center"/>
        <w:rPr>
          <w:rFonts w:hint="eastAsia" w:ascii="宋体" w:hAnsi="宋体" w:eastAsia="宋体" w:cs="宋体"/>
          <w:b/>
          <w:color w:val="auto"/>
          <w:spacing w:val="20"/>
          <w:kern w:val="0"/>
          <w:sz w:val="32"/>
          <w:szCs w:val="32"/>
          <w:highlight w:val="none"/>
          <w:lang w:val="en-US" w:eastAsia="zh-CN"/>
        </w:rPr>
      </w:pPr>
    </w:p>
    <w:p w14:paraId="61CF2BB0">
      <w:pPr>
        <w:tabs>
          <w:tab w:val="left" w:pos="2410"/>
        </w:tabs>
        <w:autoSpaceDE w:val="0"/>
        <w:autoSpaceDN w:val="0"/>
        <w:adjustRightInd w:val="0"/>
        <w:snapToGrid w:val="0"/>
        <w:spacing w:line="360" w:lineRule="auto"/>
        <w:jc w:val="center"/>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val="en-US" w:eastAsia="zh-CN"/>
        </w:rPr>
        <w:t>2026年3月</w:t>
      </w:r>
    </w:p>
    <w:p w14:paraId="685AECAD">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07791B2B">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45F048E7">
      <w:pPr>
        <w:pStyle w:val="17"/>
        <w:tabs>
          <w:tab w:val="right" w:leader="dot" w:pos="8306"/>
        </w:tabs>
        <w:spacing w:line="480" w:lineRule="auto"/>
        <w:rPr>
          <w:rFonts w:hint="eastAsia" w:ascii="宋体" w:hAnsi="宋体" w:eastAsia="宋体" w:cs="宋体"/>
          <w:color w:val="auto"/>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_Toc23443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第一章  投标邀请</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3</w:t>
      </w:r>
      <w:r>
        <w:rPr>
          <w:rFonts w:hint="eastAsia" w:ascii="宋体" w:hAnsi="宋体" w:eastAsia="宋体" w:cs="宋体"/>
          <w:color w:val="auto"/>
          <w:szCs w:val="24"/>
          <w:highlight w:val="none"/>
        </w:rPr>
        <w:fldChar w:fldCharType="end"/>
      </w:r>
    </w:p>
    <w:p w14:paraId="014915B6">
      <w:pPr>
        <w:pStyle w:val="17"/>
        <w:tabs>
          <w:tab w:val="right" w:leader="dot" w:pos="8306"/>
        </w:tabs>
        <w:spacing w:line="480" w:lineRule="auto"/>
        <w:rPr>
          <w:rFonts w:hint="eastAsia" w:ascii="宋体" w:hAnsi="宋体" w:eastAsia="宋体" w:cs="宋体"/>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_Toc31935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第二章  投标人须知</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5</w:t>
      </w:r>
      <w:r>
        <w:rPr>
          <w:rFonts w:hint="eastAsia" w:ascii="宋体" w:hAnsi="宋体" w:eastAsia="宋体" w:cs="宋体"/>
          <w:color w:val="auto"/>
          <w:szCs w:val="24"/>
          <w:highlight w:val="none"/>
        </w:rPr>
        <w:fldChar w:fldCharType="end"/>
      </w:r>
    </w:p>
    <w:p w14:paraId="1F0C1596">
      <w:pPr>
        <w:pStyle w:val="17"/>
        <w:tabs>
          <w:tab w:val="right" w:leader="dot" w:pos="8306"/>
        </w:tabs>
        <w:spacing w:line="480" w:lineRule="auto"/>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_Toc10891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第三章  采购需求</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7</w:t>
      </w:r>
    </w:p>
    <w:p w14:paraId="2716B4CC">
      <w:pPr>
        <w:pStyle w:val="17"/>
        <w:tabs>
          <w:tab w:val="right" w:leader="dot" w:pos="8306"/>
        </w:tabs>
        <w:spacing w:line="480" w:lineRule="auto"/>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_Toc16417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第四章  评标方法和标准（最低评标价法）</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8</w:t>
      </w:r>
    </w:p>
    <w:p w14:paraId="681AF7DB">
      <w:pPr>
        <w:pStyle w:val="17"/>
        <w:tabs>
          <w:tab w:val="right" w:leader="dot" w:pos="8306"/>
        </w:tabs>
        <w:spacing w:line="480" w:lineRule="auto"/>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_Toc4682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第五章  合同示范文本</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0</w:t>
      </w:r>
    </w:p>
    <w:p w14:paraId="457C4F25">
      <w:pPr>
        <w:pStyle w:val="17"/>
        <w:tabs>
          <w:tab w:val="right" w:leader="dot" w:pos="8306"/>
        </w:tabs>
        <w:spacing w:line="480"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_Toc22492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第六章  投标文件格式</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8</w:t>
      </w:r>
    </w:p>
    <w:p w14:paraId="71ECE1B1">
      <w:pPr>
        <w:pStyle w:val="17"/>
        <w:tabs>
          <w:tab w:val="right" w:leader="dot" w:pos="8306"/>
        </w:tabs>
        <w:spacing w:line="480" w:lineRule="auto"/>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_Toc22492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章  政府采购供应商询问函和质疑函范本</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3</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5</w:t>
      </w:r>
    </w:p>
    <w:p w14:paraId="0E0CF869">
      <w:pPr>
        <w:pStyle w:val="17"/>
        <w:tabs>
          <w:tab w:val="right" w:leader="dot" w:pos="8306"/>
        </w:tabs>
        <w:rPr>
          <w:rFonts w:hint="eastAsia" w:ascii="宋体" w:hAnsi="宋体" w:eastAsia="宋体" w:cs="宋体"/>
          <w:color w:val="auto"/>
          <w:highlight w:val="none"/>
          <w:lang w:val="en-US" w:eastAsia="zh-CN"/>
        </w:rPr>
      </w:pPr>
    </w:p>
    <w:p w14:paraId="6539E5AA">
      <w:pPr>
        <w:spacing w:line="360" w:lineRule="auto"/>
        <w:rPr>
          <w:rFonts w:hint="eastAsia" w:ascii="宋体" w:hAnsi="宋体" w:eastAsia="宋体" w:cs="宋体"/>
          <w:color w:val="auto"/>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798B8536">
      <w:pPr>
        <w:spacing w:line="360" w:lineRule="auto"/>
        <w:jc w:val="center"/>
        <w:outlineLvl w:val="0"/>
        <w:rPr>
          <w:rFonts w:hint="eastAsia" w:ascii="宋体" w:hAnsi="宋体" w:eastAsia="宋体" w:cs="宋体"/>
          <w:b/>
          <w:color w:val="auto"/>
          <w:sz w:val="28"/>
          <w:highlight w:val="none"/>
        </w:rPr>
      </w:pPr>
      <w:bookmarkStart w:id="1" w:name="_Toc23443"/>
      <w:r>
        <w:rPr>
          <w:rFonts w:hint="eastAsia" w:ascii="宋体" w:hAnsi="宋体" w:eastAsia="宋体" w:cs="宋体"/>
          <w:b/>
          <w:color w:val="auto"/>
          <w:sz w:val="28"/>
          <w:highlight w:val="none"/>
          <w:lang w:val="en-US" w:eastAsia="zh-CN"/>
        </w:rPr>
        <w:t xml:space="preserve">第一章 </w:t>
      </w:r>
      <w:r>
        <w:rPr>
          <w:rFonts w:hint="eastAsia" w:ascii="宋体" w:hAnsi="宋体" w:eastAsia="宋体" w:cs="宋体"/>
          <w:b/>
          <w:color w:val="auto"/>
          <w:sz w:val="28"/>
          <w:highlight w:val="none"/>
        </w:rPr>
        <w:t>投标邀请</w:t>
      </w:r>
      <w:bookmarkEnd w:id="1"/>
    </w:p>
    <w:p w14:paraId="632CE9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项目概况</w:t>
      </w:r>
    </w:p>
    <w:p w14:paraId="5F78BB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7"/>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滁州市卫生监督在线监测平台运维（2026年）项目（二次）</w:t>
      </w:r>
      <w:r>
        <w:rPr>
          <w:rFonts w:hint="eastAsia" w:ascii="微软雅黑" w:hAnsi="微软雅黑" w:eastAsia="微软雅黑" w:cs="微软雅黑"/>
          <w:i w:val="0"/>
          <w:iCs w:val="0"/>
          <w:caps w:val="0"/>
          <w:color w:val="auto"/>
          <w:spacing w:val="0"/>
          <w:kern w:val="0"/>
          <w:sz w:val="21"/>
          <w:szCs w:val="21"/>
          <w:highlight w:val="none"/>
          <w:lang w:val="en-US" w:eastAsia="zh-CN" w:bidi="ar"/>
        </w:rPr>
        <w:t>招标项目的潜在投标人应在</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滁州市疾控中心官网</w:t>
      </w:r>
      <w:r>
        <w:rPr>
          <w:rFonts w:hint="eastAsia" w:ascii="微软雅黑" w:hAnsi="微软雅黑" w:eastAsia="微软雅黑" w:cs="微软雅黑"/>
          <w:i w:val="0"/>
          <w:iCs w:val="0"/>
          <w:caps w:val="0"/>
          <w:color w:val="auto"/>
          <w:spacing w:val="0"/>
          <w:kern w:val="0"/>
          <w:sz w:val="21"/>
          <w:szCs w:val="21"/>
          <w:highlight w:val="none"/>
          <w:lang w:val="en-US" w:eastAsia="zh-CN" w:bidi="ar"/>
        </w:rPr>
        <w:t>获取招标文件，并于</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2026年3月31日10点00分</w:t>
      </w:r>
      <w:r>
        <w:rPr>
          <w:rFonts w:hint="eastAsia" w:ascii="微软雅黑" w:hAnsi="微软雅黑" w:eastAsia="微软雅黑" w:cs="微软雅黑"/>
          <w:i w:val="0"/>
          <w:iCs w:val="0"/>
          <w:caps w:val="0"/>
          <w:color w:val="auto"/>
          <w:spacing w:val="0"/>
          <w:kern w:val="0"/>
          <w:sz w:val="21"/>
          <w:szCs w:val="21"/>
          <w:highlight w:val="none"/>
          <w:lang w:val="en-US" w:eastAsia="zh-CN" w:bidi="ar"/>
        </w:rPr>
        <w:t>（北京时间）前递交投标文件。</w:t>
      </w:r>
    </w:p>
    <w:p w14:paraId="69E1FC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2"/>
        <w:jc w:val="left"/>
        <w:rPr>
          <w:color w:val="auto"/>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一、项目基本情况</w:t>
      </w:r>
    </w:p>
    <w:p w14:paraId="528946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项目编号：</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CZCDC-BGS-2026002</w:t>
      </w:r>
    </w:p>
    <w:p w14:paraId="55A235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项目名称：</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滁州市卫生监督在线监测平台运维（2026年）项目（二次）</w:t>
      </w:r>
    </w:p>
    <w:p w14:paraId="5D6D85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预算金额：</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6万元/年</w:t>
      </w:r>
    </w:p>
    <w:p w14:paraId="10DFD7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最高限价：</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本项目报价设置最高限价为6万元/年，投标人报价总价高于此报价的，其投标文件按无效标处理（小于等于此报价的为有效报价）</w:t>
      </w:r>
    </w:p>
    <w:p w14:paraId="39A0CF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color w:val="auto"/>
          <w:highlight w:val="none"/>
          <w:lang w:val="en-US"/>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采购需求：</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滁州市卫生监督在线监测平台运维（2026年）项目（二次），具体详见项目需求</w:t>
      </w:r>
    </w:p>
    <w:p w14:paraId="49AC5C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合同履行期限：</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2026年4月1日起至2028年12月31日止。（合同一年一签，考核合格后续签下一年合同）</w:t>
      </w:r>
    </w:p>
    <w:p w14:paraId="0DE6E6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本项目不接受联合体投标。</w:t>
      </w:r>
    </w:p>
    <w:p w14:paraId="1952D7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7"/>
        <w:jc w:val="left"/>
        <w:rPr>
          <w:color w:val="auto"/>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二、申请人的资格要求</w:t>
      </w:r>
    </w:p>
    <w:p w14:paraId="774A7C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1.满足《中华人民共和国政府采购法》第二十二条规定；</w:t>
      </w:r>
    </w:p>
    <w:p w14:paraId="412A44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2.落实政府采购政策需满足的资格要求：</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无</w:t>
      </w:r>
      <w:r>
        <w:rPr>
          <w:rFonts w:hint="eastAsia" w:ascii="微软雅黑" w:hAnsi="微软雅黑" w:eastAsia="微软雅黑" w:cs="微软雅黑"/>
          <w:i w:val="0"/>
          <w:iCs w:val="0"/>
          <w:caps w:val="0"/>
          <w:color w:val="auto"/>
          <w:spacing w:val="0"/>
          <w:kern w:val="0"/>
          <w:sz w:val="21"/>
          <w:szCs w:val="21"/>
          <w:highlight w:val="none"/>
          <w:lang w:val="en-US" w:eastAsia="zh-CN" w:bidi="ar"/>
        </w:rPr>
        <w:t>；</w:t>
      </w:r>
    </w:p>
    <w:p w14:paraId="5E8D87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3.本项目的特定资格要求：</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无；</w:t>
      </w:r>
    </w:p>
    <w:p w14:paraId="574877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4.业绩要求：</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投标人自2023年至今，至少具有一项此类运维业绩；</w:t>
      </w:r>
    </w:p>
    <w:p w14:paraId="10F749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5.信誉要求：投标人不得存在以下情形：</w:t>
      </w:r>
    </w:p>
    <w:p w14:paraId="33020E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①投标人被人民法院列入失信被执行人的；</w:t>
      </w:r>
    </w:p>
    <w:p w14:paraId="12A27E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②投标人或其法定代表人或拟派项目经理（项目负责人）前三年有行贿犯罪行为的；</w:t>
      </w:r>
    </w:p>
    <w:p w14:paraId="4CC07E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③投标人被市场监督管理部门列入经营异常名录或者严重违法企业名单，且未被移除的；</w:t>
      </w:r>
    </w:p>
    <w:p w14:paraId="3E9B5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④投标人被税务部门列入重大税收违法案件当事人的；</w:t>
      </w:r>
    </w:p>
    <w:p w14:paraId="7D7B19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⑤投标人被政府采购监管部门列入政府采购严重违法失信行为记录名单的；</w:t>
      </w:r>
    </w:p>
    <w:p w14:paraId="7FDC7E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⑥在“信用中国”网站上披露仍在公示期的严重失信行为的。</w:t>
      </w:r>
    </w:p>
    <w:p w14:paraId="2BE44F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6.投标人所属分公司、办事处等分支机构存在第5款信誉要求①-⑥项 情形之一的，接受投标人参加本项目。</w:t>
      </w:r>
    </w:p>
    <w:p w14:paraId="02C04C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备注：第</w:t>
      </w:r>
      <w:r>
        <w:rPr>
          <w:rFonts w:hint="eastAsia" w:ascii="微软雅黑" w:hAnsi="微软雅黑" w:eastAsia="微软雅黑" w:cs="微软雅黑"/>
          <w:i w:val="0"/>
          <w:iCs w:val="0"/>
          <w:caps w:val="0"/>
          <w:color w:val="auto"/>
          <w:spacing w:val="0"/>
          <w:kern w:val="0"/>
          <w:sz w:val="24"/>
          <w:szCs w:val="24"/>
          <w:highlight w:val="none"/>
          <w:lang w:val="en-US" w:eastAsia="zh-CN" w:bidi="ar"/>
        </w:rPr>
        <w:t> </w:t>
      </w:r>
      <w:r>
        <w:rPr>
          <w:rFonts w:hint="eastAsia" w:ascii="微软雅黑" w:hAnsi="微软雅黑" w:eastAsia="微软雅黑" w:cs="微软雅黑"/>
          <w:i w:val="0"/>
          <w:iCs w:val="0"/>
          <w:caps w:val="0"/>
          <w:color w:val="auto"/>
          <w:spacing w:val="0"/>
          <w:kern w:val="0"/>
          <w:sz w:val="21"/>
          <w:szCs w:val="21"/>
          <w:highlight w:val="none"/>
          <w:lang w:val="en-US" w:eastAsia="zh-CN" w:bidi="ar"/>
        </w:rPr>
        <w:t>4、5 条自行查询或承诺。</w:t>
      </w:r>
    </w:p>
    <w:p w14:paraId="121FCF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2"/>
        <w:jc w:val="left"/>
        <w:rPr>
          <w:color w:val="auto"/>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三、获取招标文件</w:t>
      </w:r>
    </w:p>
    <w:p w14:paraId="3DA5EC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时间：</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2026</w:t>
      </w:r>
      <w:r>
        <w:rPr>
          <w:rFonts w:hint="eastAsia" w:ascii="微软雅黑" w:hAnsi="微软雅黑" w:eastAsia="微软雅黑" w:cs="微软雅黑"/>
          <w:i w:val="0"/>
          <w:iCs w:val="0"/>
          <w:caps w:val="0"/>
          <w:color w:val="auto"/>
          <w:spacing w:val="0"/>
          <w:kern w:val="0"/>
          <w:sz w:val="21"/>
          <w:szCs w:val="21"/>
          <w:highlight w:val="none"/>
          <w:lang w:val="en-US" w:eastAsia="zh-CN" w:bidi="ar"/>
        </w:rPr>
        <w:t>年</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3月23</w:t>
      </w:r>
      <w:r>
        <w:rPr>
          <w:rFonts w:hint="eastAsia" w:ascii="微软雅黑" w:hAnsi="微软雅黑" w:eastAsia="微软雅黑" w:cs="微软雅黑"/>
          <w:i w:val="0"/>
          <w:iCs w:val="0"/>
          <w:caps w:val="0"/>
          <w:color w:val="auto"/>
          <w:spacing w:val="0"/>
          <w:kern w:val="0"/>
          <w:sz w:val="21"/>
          <w:szCs w:val="21"/>
          <w:highlight w:val="none"/>
          <w:lang w:val="en-US" w:eastAsia="zh-CN" w:bidi="ar"/>
        </w:rPr>
        <w:t>日至</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2026</w:t>
      </w:r>
      <w:r>
        <w:rPr>
          <w:rFonts w:hint="eastAsia" w:ascii="微软雅黑" w:hAnsi="微软雅黑" w:eastAsia="微软雅黑" w:cs="微软雅黑"/>
          <w:i w:val="0"/>
          <w:iCs w:val="0"/>
          <w:caps w:val="0"/>
          <w:color w:val="auto"/>
          <w:spacing w:val="0"/>
          <w:kern w:val="0"/>
          <w:sz w:val="21"/>
          <w:szCs w:val="21"/>
          <w:highlight w:val="none"/>
          <w:lang w:val="en-US" w:eastAsia="zh-CN" w:bidi="ar"/>
        </w:rPr>
        <w:t>年</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3月31日10点00分</w:t>
      </w:r>
      <w:r>
        <w:rPr>
          <w:rFonts w:hint="eastAsia" w:ascii="微软雅黑" w:hAnsi="微软雅黑" w:eastAsia="微软雅黑" w:cs="微软雅黑"/>
          <w:i w:val="0"/>
          <w:iCs w:val="0"/>
          <w:caps w:val="0"/>
          <w:color w:val="auto"/>
          <w:spacing w:val="0"/>
          <w:kern w:val="0"/>
          <w:sz w:val="21"/>
          <w:szCs w:val="21"/>
          <w:highlight w:val="none"/>
          <w:lang w:val="en-US" w:eastAsia="zh-CN" w:bidi="ar"/>
        </w:rPr>
        <w:t>前</w:t>
      </w:r>
    </w:p>
    <w:p w14:paraId="45C624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地点：</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滁州市疾控中心官网</w:t>
      </w:r>
    </w:p>
    <w:p w14:paraId="018137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方式：</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网上自行下载</w:t>
      </w:r>
    </w:p>
    <w:p w14:paraId="61138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7"/>
        <w:jc w:val="left"/>
        <w:rPr>
          <w:color w:val="auto"/>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四、提交投标文件截止时间、开标时间和地点</w:t>
      </w:r>
    </w:p>
    <w:p w14:paraId="6BE532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投标截止时间：</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2026</w:t>
      </w:r>
      <w:r>
        <w:rPr>
          <w:rFonts w:hint="eastAsia" w:ascii="微软雅黑" w:hAnsi="微软雅黑" w:eastAsia="微软雅黑" w:cs="微软雅黑"/>
          <w:i w:val="0"/>
          <w:iCs w:val="0"/>
          <w:caps w:val="0"/>
          <w:color w:val="auto"/>
          <w:spacing w:val="0"/>
          <w:kern w:val="0"/>
          <w:sz w:val="21"/>
          <w:szCs w:val="21"/>
          <w:highlight w:val="none"/>
          <w:lang w:val="en-US" w:eastAsia="zh-CN" w:bidi="ar"/>
        </w:rPr>
        <w:t>年</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3月31日10点00分</w:t>
      </w:r>
      <w:r>
        <w:rPr>
          <w:rFonts w:hint="eastAsia" w:ascii="微软雅黑" w:hAnsi="微软雅黑" w:eastAsia="微软雅黑" w:cs="微软雅黑"/>
          <w:i w:val="0"/>
          <w:iCs w:val="0"/>
          <w:caps w:val="0"/>
          <w:color w:val="auto"/>
          <w:spacing w:val="0"/>
          <w:kern w:val="0"/>
          <w:sz w:val="21"/>
          <w:szCs w:val="21"/>
          <w:highlight w:val="none"/>
          <w:lang w:val="en-US" w:eastAsia="zh-CN" w:bidi="ar"/>
        </w:rPr>
        <w:t>（北京时间）</w:t>
      </w:r>
    </w:p>
    <w:p w14:paraId="07F2A0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rFonts w:hint="default" w:ascii="微软雅黑" w:hAnsi="微软雅黑" w:eastAsia="微软雅黑" w:cs="微软雅黑"/>
          <w:i w:val="0"/>
          <w:iCs w:val="0"/>
          <w:caps w:val="0"/>
          <w:color w:val="auto"/>
          <w:spacing w:val="0"/>
          <w:kern w:val="0"/>
          <w:sz w:val="21"/>
          <w:szCs w:val="21"/>
          <w:highlight w:val="none"/>
          <w:lang w:val="en-US" w:eastAsia="zh-CN" w:bidi="ar"/>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地点：滁州市疾病预防控制中心综合业务科</w:t>
      </w:r>
    </w:p>
    <w:p w14:paraId="138FB8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注：各投标人可以采用直接送达或邮寄的方式，递交时间以直接送达或快递送达的时间为准，逾期不予接收（邮寄/现场投标地址：安徽省滁州市会峰西路669-1号，滁州市疾病预防控制中心三楼，综合业务科，联系人：张勇，联系电话：18019819099）</w:t>
      </w:r>
    </w:p>
    <w:p w14:paraId="6C26C6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7"/>
        <w:jc w:val="left"/>
        <w:rPr>
          <w:color w:val="auto"/>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五、公告期限</w:t>
      </w:r>
    </w:p>
    <w:p w14:paraId="01459C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7"/>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自本公告发布之日起5个工作日。</w:t>
      </w:r>
    </w:p>
    <w:p w14:paraId="74D597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7"/>
        <w:jc w:val="left"/>
        <w:rPr>
          <w:color w:val="auto"/>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六、其他补充事宜</w:t>
      </w:r>
    </w:p>
    <w:p w14:paraId="3035B8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7"/>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无</w:t>
      </w:r>
    </w:p>
    <w:p w14:paraId="707231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7"/>
        <w:jc w:val="left"/>
        <w:rPr>
          <w:color w:val="auto"/>
          <w:highlight w:val="none"/>
        </w:rPr>
      </w:pPr>
      <w:r>
        <w:rPr>
          <w:rFonts w:hint="eastAsia" w:ascii="微软雅黑" w:hAnsi="微软雅黑" w:eastAsia="微软雅黑" w:cs="微软雅黑"/>
          <w:b/>
          <w:bCs/>
          <w:i w:val="0"/>
          <w:iCs w:val="0"/>
          <w:caps w:val="0"/>
          <w:color w:val="auto"/>
          <w:spacing w:val="0"/>
          <w:kern w:val="0"/>
          <w:sz w:val="21"/>
          <w:szCs w:val="21"/>
          <w:highlight w:val="none"/>
          <w:lang w:val="en-US" w:eastAsia="zh-CN" w:bidi="ar"/>
        </w:rPr>
        <w:t>七、对本次招标提出询问，请按以下方式联系</w:t>
      </w:r>
    </w:p>
    <w:p w14:paraId="6649B1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7"/>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1.采购人信息</w:t>
      </w:r>
    </w:p>
    <w:p w14:paraId="3A12EA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名  称：</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滁州市疾病预防控制中心</w:t>
      </w:r>
    </w:p>
    <w:p w14:paraId="298732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地  址：</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滁州市会峰西路669-1号</w:t>
      </w:r>
    </w:p>
    <w:p w14:paraId="17448B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联系人：</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综合业务科</w:t>
      </w:r>
    </w:p>
    <w:p w14:paraId="0BF865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rFonts w:hint="default"/>
          <w:color w:val="auto"/>
          <w:highlight w:val="none"/>
          <w:lang w:val="en-US"/>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联系方式：</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0550-3519356</w:t>
      </w:r>
    </w:p>
    <w:p w14:paraId="47403B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7"/>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2.采购代理机构信息</w:t>
      </w:r>
    </w:p>
    <w:p w14:paraId="266B4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rFonts w:hint="default"/>
          <w:color w:val="auto"/>
          <w:highlight w:val="none"/>
          <w:lang w:val="en-US"/>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名  称：</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安徽泓樾工程项目管理有限公司</w:t>
      </w:r>
    </w:p>
    <w:p w14:paraId="4D62EC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rFonts w:hint="default"/>
          <w:color w:val="auto"/>
          <w:highlight w:val="none"/>
          <w:lang w:val="en-US"/>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地  址：</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滁州市南谯区港汇中心B座10楼</w:t>
      </w:r>
    </w:p>
    <w:p w14:paraId="1F4C9F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5"/>
        <w:jc w:val="left"/>
        <w:rPr>
          <w:color w:val="auto"/>
          <w:highlight w:val="none"/>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联系人：</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尹鑫</w:t>
      </w:r>
    </w:p>
    <w:p w14:paraId="1666CF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firstLineChars="200"/>
        <w:jc w:val="left"/>
        <w:rPr>
          <w:rFonts w:hint="default"/>
          <w:color w:val="auto"/>
          <w:highlight w:val="none"/>
          <w:lang w:val="en-US"/>
        </w:rPr>
      </w:pPr>
      <w:r>
        <w:rPr>
          <w:rFonts w:hint="eastAsia" w:ascii="微软雅黑" w:hAnsi="微软雅黑" w:eastAsia="微软雅黑" w:cs="微软雅黑"/>
          <w:i w:val="0"/>
          <w:iCs w:val="0"/>
          <w:caps w:val="0"/>
          <w:color w:val="auto"/>
          <w:spacing w:val="0"/>
          <w:kern w:val="0"/>
          <w:sz w:val="21"/>
          <w:szCs w:val="21"/>
          <w:highlight w:val="none"/>
          <w:lang w:val="en-US" w:eastAsia="zh-CN" w:bidi="ar"/>
        </w:rPr>
        <w:t>联系方式：</w:t>
      </w:r>
      <w:r>
        <w:rPr>
          <w:rFonts w:hint="eastAsia" w:ascii="微软雅黑" w:hAnsi="微软雅黑" w:eastAsia="微软雅黑" w:cs="微软雅黑"/>
          <w:i w:val="0"/>
          <w:iCs w:val="0"/>
          <w:caps w:val="0"/>
          <w:color w:val="auto"/>
          <w:spacing w:val="0"/>
          <w:kern w:val="0"/>
          <w:sz w:val="21"/>
          <w:szCs w:val="21"/>
          <w:highlight w:val="none"/>
          <w:u w:val="single"/>
          <w:lang w:val="en-US" w:eastAsia="zh-CN" w:bidi="ar"/>
        </w:rPr>
        <w:t>13083326075</w:t>
      </w:r>
    </w:p>
    <w:p w14:paraId="7D72CDF4">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2FA36E1C">
      <w:pPr>
        <w:spacing w:line="360" w:lineRule="auto"/>
        <w:jc w:val="center"/>
        <w:outlineLvl w:val="0"/>
        <w:rPr>
          <w:rFonts w:hint="eastAsia" w:ascii="宋体" w:hAnsi="宋体" w:eastAsia="宋体" w:cs="宋体"/>
          <w:b/>
          <w:color w:val="auto"/>
          <w:sz w:val="28"/>
          <w:highlight w:val="none"/>
        </w:rPr>
      </w:pPr>
      <w:bookmarkStart w:id="2" w:name="_Toc31935"/>
      <w:r>
        <w:rPr>
          <w:rFonts w:hint="eastAsia" w:ascii="宋体" w:hAnsi="宋体" w:eastAsia="宋体" w:cs="宋体"/>
          <w:b/>
          <w:color w:val="auto"/>
          <w:sz w:val="28"/>
          <w:highlight w:val="none"/>
        </w:rPr>
        <w:t>第二章  投标人须知</w:t>
      </w:r>
      <w:bookmarkEnd w:id="2"/>
    </w:p>
    <w:p w14:paraId="1EED2853">
      <w:pPr>
        <w:spacing w:line="360" w:lineRule="auto"/>
        <w:jc w:val="center"/>
        <w:outlineLvl w:val="1"/>
        <w:rPr>
          <w:rFonts w:hint="eastAsia" w:ascii="宋体" w:hAnsi="宋体" w:eastAsia="宋体" w:cs="宋体"/>
          <w:b/>
          <w:color w:val="auto"/>
          <w:sz w:val="24"/>
          <w:highlight w:val="none"/>
        </w:rPr>
      </w:pPr>
      <w:bookmarkStart w:id="3" w:name="_Toc7178"/>
      <w:bookmarkStart w:id="4" w:name="_Toc3114"/>
      <w:r>
        <w:rPr>
          <w:rFonts w:hint="eastAsia" w:ascii="宋体" w:hAnsi="宋体" w:eastAsia="宋体" w:cs="宋体"/>
          <w:b/>
          <w:color w:val="auto"/>
          <w:sz w:val="24"/>
          <w:highlight w:val="none"/>
        </w:rPr>
        <w:t>一、投标人须知前附表</w:t>
      </w:r>
      <w:bookmarkEnd w:id="3"/>
      <w:bookmarkEnd w:id="4"/>
    </w:p>
    <w:p w14:paraId="02B5E420">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4"/>
        <w:tblW w:w="52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290"/>
        <w:gridCol w:w="8201"/>
      </w:tblGrid>
      <w:tr w14:paraId="26D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6CF62EFF">
            <w:pPr>
              <w:pStyle w:val="32"/>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612" w:type="pct"/>
            <w:vAlign w:val="center"/>
          </w:tcPr>
          <w:p w14:paraId="1CA214A0">
            <w:pPr>
              <w:pStyle w:val="32"/>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891" w:type="pct"/>
            <w:vAlign w:val="center"/>
          </w:tcPr>
          <w:p w14:paraId="17C6ECB3">
            <w:pPr>
              <w:pStyle w:val="32"/>
              <w:widowControl w:val="0"/>
              <w:spacing w:before="0" w:beforeAutospacing="0" w:after="0" w:afterAutospacing="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784A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10D3D48D">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2</w:t>
            </w:r>
          </w:p>
        </w:tc>
        <w:tc>
          <w:tcPr>
            <w:tcW w:w="612" w:type="pct"/>
            <w:vAlign w:val="center"/>
          </w:tcPr>
          <w:p w14:paraId="1A58A27B">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现场考察</w:t>
            </w:r>
            <w:r>
              <w:rPr>
                <w:rFonts w:hint="eastAsia" w:ascii="宋体" w:hAnsi="宋体" w:eastAsia="宋体" w:cs="宋体"/>
                <w:b w:val="0"/>
                <w:color w:val="auto"/>
                <w:sz w:val="24"/>
                <w:highlight w:val="none"/>
                <w:lang w:val="en-US" w:eastAsia="zh-CN"/>
              </w:rPr>
              <w:t>或标前答疑会</w:t>
            </w:r>
          </w:p>
        </w:tc>
        <w:tc>
          <w:tcPr>
            <w:tcW w:w="3891" w:type="pct"/>
            <w:vAlign w:val="center"/>
          </w:tcPr>
          <w:p w14:paraId="355F9F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highlight w:val="none"/>
              </w:rPr>
              <w:t>不组织</w:t>
            </w:r>
            <w:r>
              <w:rPr>
                <w:rFonts w:hint="eastAsia" w:ascii="宋体" w:hAnsi="宋体" w:eastAsia="宋体" w:cs="宋体"/>
                <w:color w:val="auto"/>
                <w:sz w:val="24"/>
                <w:highlight w:val="none"/>
                <w:lang w:val="en-US" w:eastAsia="zh-CN"/>
              </w:rPr>
              <w:t>或不召开</w:t>
            </w:r>
          </w:p>
          <w:p w14:paraId="542AF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统一组织</w:t>
            </w:r>
            <w:r>
              <w:rPr>
                <w:rFonts w:hint="eastAsia" w:ascii="宋体" w:hAnsi="宋体" w:eastAsia="宋体" w:cs="宋体"/>
                <w:bCs/>
                <w:color w:val="auto"/>
                <w:sz w:val="24"/>
                <w:highlight w:val="none"/>
                <w:lang w:val="en-US" w:eastAsia="zh-CN"/>
              </w:rPr>
              <w:t>或统一召开</w:t>
            </w:r>
          </w:p>
          <w:p w14:paraId="6A7C54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时间：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时</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分</w:t>
            </w:r>
          </w:p>
          <w:p w14:paraId="59FBBB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地点：</w:t>
            </w:r>
            <w:r>
              <w:rPr>
                <w:rFonts w:hint="eastAsia" w:ascii="宋体" w:hAnsi="宋体" w:eastAsia="宋体" w:cs="宋体"/>
                <w:bCs/>
                <w:color w:val="auto"/>
                <w:sz w:val="24"/>
                <w:highlight w:val="none"/>
                <w:u w:val="single"/>
              </w:rPr>
              <w:t xml:space="preserve">                       </w:t>
            </w:r>
          </w:p>
          <w:p w14:paraId="37FB55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联系人及联系电话：</w:t>
            </w:r>
            <w:r>
              <w:rPr>
                <w:rFonts w:hint="eastAsia" w:ascii="宋体" w:hAnsi="宋体" w:eastAsia="宋体" w:cs="宋体"/>
                <w:bCs/>
                <w:color w:val="auto"/>
                <w:sz w:val="24"/>
                <w:highlight w:val="none"/>
                <w:u w:val="single"/>
              </w:rPr>
              <w:t xml:space="preserve">           </w:t>
            </w:r>
          </w:p>
          <w:p w14:paraId="3E53C0F0">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如投标人未参加采购人统一组织的现场考察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，由此引起的一切责任由投标人自行承担。</w:t>
            </w:r>
          </w:p>
        </w:tc>
      </w:tr>
      <w:tr w14:paraId="7578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3FAF453A">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6</w:t>
            </w:r>
            <w:r>
              <w:rPr>
                <w:rFonts w:hint="eastAsia" w:ascii="宋体" w:hAnsi="宋体" w:eastAsia="宋体" w:cs="宋体"/>
                <w:bCs/>
                <w:color w:val="auto"/>
                <w:kern w:val="2"/>
                <w:highlight w:val="none"/>
              </w:rPr>
              <w:t>.1</w:t>
            </w:r>
          </w:p>
        </w:tc>
        <w:tc>
          <w:tcPr>
            <w:tcW w:w="612" w:type="pct"/>
            <w:vAlign w:val="center"/>
          </w:tcPr>
          <w:p w14:paraId="0DC847CB">
            <w:pPr>
              <w:pStyle w:val="32"/>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891" w:type="pct"/>
            <w:vAlign w:val="center"/>
          </w:tcPr>
          <w:p w14:paraId="1C949E3E">
            <w:pPr>
              <w:pStyle w:val="32"/>
              <w:widowControl w:val="0"/>
              <w:spacing w:before="0" w:beforeAutospacing="0" w:after="0" w:afterAutospacing="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2026</w:t>
            </w:r>
            <w:r>
              <w:rPr>
                <w:rFonts w:hint="eastAsia" w:ascii="宋体" w:hAnsi="宋体" w:eastAsia="宋体" w:cs="宋体"/>
                <w:b w:val="0"/>
                <w:color w:val="auto"/>
                <w:sz w:val="24"/>
                <w:highlight w:val="none"/>
              </w:rPr>
              <w:t>年</w:t>
            </w:r>
            <w:r>
              <w:rPr>
                <w:rFonts w:hint="eastAsia" w:ascii="宋体" w:hAnsi="宋体" w:eastAsia="宋体" w:cs="宋体"/>
                <w:b w:val="0"/>
                <w:color w:val="auto"/>
                <w:sz w:val="24"/>
                <w:highlight w:val="none"/>
                <w:u w:val="single"/>
                <w:lang w:val="en-US" w:eastAsia="zh-CN"/>
              </w:rPr>
              <w:t xml:space="preserve">3月 26 </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lang w:val="en-US" w:eastAsia="zh-CN"/>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lang w:val="en-US" w:eastAsia="zh-CN"/>
              </w:rPr>
              <w:t>00</w:t>
            </w:r>
            <w:r>
              <w:rPr>
                <w:rFonts w:hint="eastAsia" w:ascii="宋体" w:hAnsi="宋体" w:eastAsia="宋体" w:cs="宋体"/>
                <w:b w:val="0"/>
                <w:color w:val="auto"/>
                <w:sz w:val="24"/>
                <w:highlight w:val="none"/>
              </w:rPr>
              <w:t>分</w:t>
            </w:r>
          </w:p>
        </w:tc>
      </w:tr>
      <w:tr w14:paraId="372C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21CD7F9A">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7</w:t>
            </w:r>
            <w:r>
              <w:rPr>
                <w:rFonts w:hint="eastAsia" w:ascii="宋体" w:hAnsi="宋体" w:eastAsia="宋体" w:cs="宋体"/>
                <w:bCs/>
                <w:color w:val="auto"/>
                <w:kern w:val="2"/>
                <w:highlight w:val="none"/>
              </w:rPr>
              <w:t>.1</w:t>
            </w:r>
          </w:p>
        </w:tc>
        <w:tc>
          <w:tcPr>
            <w:tcW w:w="612" w:type="pct"/>
            <w:vAlign w:val="center"/>
          </w:tcPr>
          <w:p w14:paraId="4CFCE116">
            <w:pPr>
              <w:pStyle w:val="32"/>
              <w:widowControl w:val="0"/>
              <w:spacing w:before="0" w:beforeAutospacing="0" w:after="0" w:afterAutospacing="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891" w:type="pct"/>
            <w:vAlign w:val="center"/>
          </w:tcPr>
          <w:p w14:paraId="6900DCBA">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不分包     □分为  个包</w:t>
            </w:r>
          </w:p>
          <w:p w14:paraId="3FA6F381">
            <w:pPr>
              <w:pStyle w:val="32"/>
              <w:widowControl w:val="0"/>
              <w:spacing w:before="0" w:beforeAutospacing="0" w:after="0" w:afterAutospacing="0"/>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bCs w:val="0"/>
                <w:color w:val="auto"/>
                <w:sz w:val="24"/>
                <w:szCs w:val="18"/>
                <w:highlight w:val="none"/>
                <w:u w:val="single"/>
              </w:rPr>
              <w:t xml:space="preserve">        </w:t>
            </w:r>
          </w:p>
        </w:tc>
      </w:tr>
      <w:tr w14:paraId="2928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496" w:type="pct"/>
            <w:vAlign w:val="center"/>
          </w:tcPr>
          <w:p w14:paraId="6DC3F7B1">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0</w:t>
            </w:r>
            <w:r>
              <w:rPr>
                <w:rFonts w:hint="eastAsia" w:ascii="宋体" w:hAnsi="宋体" w:eastAsia="宋体" w:cs="宋体"/>
                <w:bCs/>
                <w:color w:val="auto"/>
                <w:kern w:val="2"/>
                <w:highlight w:val="none"/>
              </w:rPr>
              <w:t>.1</w:t>
            </w:r>
          </w:p>
        </w:tc>
        <w:tc>
          <w:tcPr>
            <w:tcW w:w="612" w:type="pct"/>
            <w:vAlign w:val="center"/>
          </w:tcPr>
          <w:p w14:paraId="739FEC8A">
            <w:pPr>
              <w:pStyle w:val="32"/>
              <w:widowControl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891" w:type="pct"/>
            <w:vAlign w:val="center"/>
          </w:tcPr>
          <w:p w14:paraId="1BFA8CAF">
            <w:pPr>
              <w:spacing w:line="360" w:lineRule="auto"/>
              <w:rPr>
                <w:rFonts w:hint="eastAsia" w:ascii="宋体" w:hAnsi="宋体" w:eastAsia="宋体" w:cs="宋体"/>
                <w:color w:val="auto"/>
                <w:highlight w:val="none"/>
              </w:rPr>
            </w:pPr>
            <w:r>
              <w:rPr>
                <w:rFonts w:hint="eastAsia" w:ascii="宋体" w:hAnsi="宋体" w:eastAsia="宋体" w:cs="宋体"/>
                <w:bCs/>
                <w:color w:val="auto"/>
                <w:kern w:val="0"/>
                <w:sz w:val="24"/>
                <w:szCs w:val="28"/>
                <w:highlight w:val="none"/>
              </w:rPr>
              <w:t>不收取</w:t>
            </w:r>
          </w:p>
        </w:tc>
      </w:tr>
      <w:tr w14:paraId="6FA8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4ED92752">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612" w:type="pct"/>
            <w:vAlign w:val="center"/>
          </w:tcPr>
          <w:p w14:paraId="00F7B87B">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891" w:type="pct"/>
            <w:vAlign w:val="center"/>
          </w:tcPr>
          <w:p w14:paraId="43E29C24">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rPr>
              <w:t>日历日</w:t>
            </w:r>
          </w:p>
        </w:tc>
      </w:tr>
      <w:tr w14:paraId="12DD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336F02BD">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612" w:type="pct"/>
            <w:vAlign w:val="center"/>
          </w:tcPr>
          <w:p w14:paraId="0A32A12D">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891" w:type="pct"/>
            <w:vAlign w:val="center"/>
          </w:tcPr>
          <w:p w14:paraId="45E6257F">
            <w:pPr>
              <w:pStyle w:val="32"/>
              <w:widowControl w:val="0"/>
              <w:spacing w:before="0" w:beforeAutospacing="0" w:after="0" w:afterAutospacing="0" w:line="360" w:lineRule="auto"/>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3A2035D9">
            <w:pPr>
              <w:pStyle w:val="32"/>
              <w:widowControl w:val="0"/>
              <w:spacing w:before="0" w:beforeAutospacing="0" w:after="0" w:afterAutospacing="0" w:line="360" w:lineRule="auto"/>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1DED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7144B46A">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.2</w:t>
            </w:r>
          </w:p>
        </w:tc>
        <w:tc>
          <w:tcPr>
            <w:tcW w:w="612" w:type="pct"/>
            <w:vAlign w:val="center"/>
          </w:tcPr>
          <w:p w14:paraId="1677AFE4">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891" w:type="pct"/>
            <w:vAlign w:val="center"/>
          </w:tcPr>
          <w:p w14:paraId="45B98FA6">
            <w:pPr>
              <w:pStyle w:val="32"/>
              <w:widowControl w:val="0"/>
              <w:spacing w:before="0" w:beforeAutospacing="0" w:after="0" w:afterAutospacing="0" w:line="360" w:lineRule="auto"/>
              <w:jc w:val="both"/>
              <w:rPr>
                <w:rFonts w:hint="eastAsia" w:ascii="宋体" w:hAnsi="宋体" w:eastAsia="宋体" w:cs="宋体"/>
                <w:b w:val="0"/>
                <w:color w:val="auto"/>
                <w:sz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最低评标价法</w:t>
            </w:r>
          </w:p>
          <w:p w14:paraId="5DBBDEF4">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综合评分法</w:t>
            </w:r>
          </w:p>
        </w:tc>
      </w:tr>
      <w:tr w14:paraId="476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4A3A849A">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612" w:type="pct"/>
            <w:vAlign w:val="center"/>
          </w:tcPr>
          <w:p w14:paraId="3C9EEFD0">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891" w:type="pct"/>
            <w:vAlign w:val="center"/>
          </w:tcPr>
          <w:p w14:paraId="126EA0E6">
            <w:pPr>
              <w:keepNext w:val="0"/>
              <w:keepLines w:val="0"/>
              <w:widowControl/>
              <w:suppressLineNumbers w:val="0"/>
              <w:jc w:val="left"/>
              <w:rPr>
                <w:rFonts w:hint="eastAsia" w:ascii="宋体" w:hAnsi="宋体" w:eastAsia="宋体" w:cs="宋体"/>
                <w:b w:val="0"/>
                <w:color w:val="auto"/>
                <w:sz w:val="24"/>
                <w:highlight w:val="none"/>
                <w:u w:val="single"/>
              </w:rPr>
            </w:pPr>
            <w:r>
              <w:rPr>
                <w:rFonts w:hint="eastAsia" w:ascii="宋体" w:hAnsi="宋体" w:eastAsia="宋体" w:cs="宋体"/>
                <w:color w:val="auto"/>
                <w:kern w:val="0"/>
                <w:sz w:val="24"/>
                <w:szCs w:val="24"/>
                <w:highlight w:val="none"/>
                <w:lang w:val="en-US" w:eastAsia="zh-CN"/>
              </w:rPr>
              <w:t>评标委员会推荐 3 名中标候选人</w:t>
            </w:r>
          </w:p>
        </w:tc>
      </w:tr>
      <w:tr w14:paraId="3A2B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14F14C53">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.2</w:t>
            </w:r>
          </w:p>
        </w:tc>
        <w:tc>
          <w:tcPr>
            <w:tcW w:w="612" w:type="pct"/>
            <w:vAlign w:val="center"/>
          </w:tcPr>
          <w:p w14:paraId="7E85FE1B">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891" w:type="pct"/>
            <w:vAlign w:val="center"/>
          </w:tcPr>
          <w:p w14:paraId="20FAFD3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采购人委托评标委员会确定</w:t>
            </w:r>
          </w:p>
          <w:p w14:paraId="5D54DC98">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采购人确定</w:t>
            </w:r>
          </w:p>
        </w:tc>
      </w:tr>
      <w:tr w14:paraId="5B0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6CA73637">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612" w:type="pct"/>
            <w:vAlign w:val="center"/>
          </w:tcPr>
          <w:p w14:paraId="217540ED">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891" w:type="pct"/>
            <w:vAlign w:val="center"/>
          </w:tcPr>
          <w:p w14:paraId="050FCD59">
            <w:pPr>
              <w:pStyle w:val="32"/>
              <w:widowControl w:val="0"/>
              <w:spacing w:before="0" w:beforeAutospacing="0" w:after="0" w:afterAutospacing="0"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739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02CE948E">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.1</w:t>
            </w:r>
          </w:p>
        </w:tc>
        <w:tc>
          <w:tcPr>
            <w:tcW w:w="612" w:type="pct"/>
            <w:vAlign w:val="center"/>
          </w:tcPr>
          <w:p w14:paraId="55EEC46F">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891" w:type="pct"/>
            <w:vAlign w:val="center"/>
          </w:tcPr>
          <w:p w14:paraId="1B6414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color w:val="auto"/>
                <w:kern w:val="0"/>
                <w:sz w:val="24"/>
                <w:szCs w:val="24"/>
                <w:highlight w:val="none"/>
              </w:rPr>
              <w:t>投标人自行</w:t>
            </w:r>
            <w:r>
              <w:rPr>
                <w:rFonts w:hint="eastAsia" w:ascii="宋体" w:hAnsi="宋体" w:eastAsia="宋体" w:cs="宋体"/>
                <w:color w:val="auto"/>
                <w:kern w:val="0"/>
                <w:sz w:val="24"/>
                <w:szCs w:val="24"/>
                <w:highlight w:val="none"/>
                <w:lang w:val="en-US" w:eastAsia="zh-CN"/>
              </w:rPr>
              <w:t>在滁州市疾病预防控制中心官网</w:t>
            </w:r>
            <w:r>
              <w:rPr>
                <w:rFonts w:hint="eastAsia" w:ascii="宋体" w:hAnsi="宋体" w:eastAsia="宋体" w:cs="宋体"/>
                <w:color w:val="auto"/>
                <w:kern w:val="0"/>
                <w:sz w:val="24"/>
                <w:szCs w:val="24"/>
                <w:highlight w:val="none"/>
              </w:rPr>
              <w:t>查看</w:t>
            </w:r>
          </w:p>
        </w:tc>
      </w:tr>
      <w:tr w14:paraId="0BE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96" w:type="pct"/>
            <w:vAlign w:val="center"/>
          </w:tcPr>
          <w:p w14:paraId="7BAD89EB">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26</w:t>
            </w:r>
            <w:r>
              <w:rPr>
                <w:rFonts w:hint="eastAsia" w:ascii="宋体" w:hAnsi="宋体" w:eastAsia="宋体" w:cs="宋体"/>
                <w:bCs/>
                <w:color w:val="auto"/>
                <w:kern w:val="2"/>
                <w:highlight w:val="none"/>
              </w:rPr>
              <w:t>.1</w:t>
            </w:r>
          </w:p>
        </w:tc>
        <w:tc>
          <w:tcPr>
            <w:tcW w:w="612" w:type="pct"/>
            <w:vAlign w:val="center"/>
          </w:tcPr>
          <w:p w14:paraId="420AC3E6">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891" w:type="pct"/>
          </w:tcPr>
          <w:p w14:paraId="2D1B9397">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1B987C42">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7028D97C">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492B3D23">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元</w:t>
            </w:r>
          </w:p>
          <w:p w14:paraId="1872FE12">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5C9DD1A4">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31200E21">
            <w:pPr>
              <w:numPr>
                <w:ilvl w:val="0"/>
                <w:numId w:val="0"/>
              </w:num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3</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收取单位：</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 xml:space="preserve">              </w:t>
            </w:r>
          </w:p>
          <w:p w14:paraId="28536895">
            <w:pPr>
              <w:spacing w:line="360" w:lineRule="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val="en-US" w:eastAsia="zh-CN"/>
              </w:rPr>
              <w:t>（4）收取账号：</w:t>
            </w:r>
            <w:r>
              <w:rPr>
                <w:rFonts w:hint="eastAsia" w:ascii="宋体" w:hAnsi="宋体" w:eastAsia="宋体" w:cs="宋体"/>
                <w:bCs/>
                <w:color w:val="auto"/>
                <w:kern w:val="0"/>
                <w:sz w:val="24"/>
                <w:szCs w:val="28"/>
                <w:highlight w:val="none"/>
                <w:u w:val="single"/>
              </w:rPr>
              <w:t xml:space="preserve">              </w:t>
            </w:r>
          </w:p>
          <w:p w14:paraId="4F27666C">
            <w:pPr>
              <w:spacing w:line="36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rPr>
              <w:t>）</w:t>
            </w:r>
            <w:r>
              <w:rPr>
                <w:rFonts w:hint="eastAsia" w:ascii="宋体" w:hAnsi="宋体" w:eastAsia="宋体" w:cs="宋体"/>
                <w:color w:val="auto"/>
                <w:sz w:val="24"/>
                <w:highlight w:val="none"/>
              </w:rPr>
              <w:t>退还时间：</w:t>
            </w:r>
            <w:r>
              <w:rPr>
                <w:rFonts w:hint="eastAsia" w:ascii="宋体" w:hAnsi="宋体" w:eastAsia="宋体" w:cs="宋体"/>
                <w:bCs/>
                <w:color w:val="auto"/>
                <w:kern w:val="0"/>
                <w:sz w:val="24"/>
                <w:szCs w:val="28"/>
                <w:highlight w:val="none"/>
                <w:u w:val="single"/>
              </w:rPr>
              <w:t xml:space="preserve">              </w:t>
            </w:r>
          </w:p>
          <w:p w14:paraId="0B79F3D9">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7E207176">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59C1FFD7">
            <w:pPr>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225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496" w:type="pct"/>
            <w:vAlign w:val="center"/>
          </w:tcPr>
          <w:p w14:paraId="71FD118A">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27</w:t>
            </w:r>
            <w:r>
              <w:rPr>
                <w:rFonts w:hint="eastAsia" w:ascii="宋体" w:hAnsi="宋体" w:eastAsia="宋体" w:cs="宋体"/>
                <w:bCs/>
                <w:color w:val="auto"/>
                <w:kern w:val="2"/>
                <w:highlight w:val="none"/>
              </w:rPr>
              <w:t>.1</w:t>
            </w:r>
          </w:p>
        </w:tc>
        <w:tc>
          <w:tcPr>
            <w:tcW w:w="612" w:type="pct"/>
            <w:vAlign w:val="center"/>
          </w:tcPr>
          <w:p w14:paraId="43FC3496">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签订合同和合同公告时间</w:t>
            </w:r>
          </w:p>
        </w:tc>
        <w:tc>
          <w:tcPr>
            <w:tcW w:w="3891" w:type="pct"/>
          </w:tcPr>
          <w:p w14:paraId="6A2B0108">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981EA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（2）采购人与中标人不得擅自变更合同。</w:t>
            </w:r>
          </w:p>
        </w:tc>
      </w:tr>
      <w:tr w14:paraId="1324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2D957F3E">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28</w:t>
            </w:r>
            <w:r>
              <w:rPr>
                <w:rFonts w:hint="eastAsia" w:ascii="宋体" w:hAnsi="宋体" w:eastAsia="宋体" w:cs="宋体"/>
                <w:bCs/>
                <w:color w:val="auto"/>
                <w:kern w:val="2"/>
                <w:highlight w:val="none"/>
              </w:rPr>
              <w:t>.1</w:t>
            </w:r>
          </w:p>
        </w:tc>
        <w:tc>
          <w:tcPr>
            <w:tcW w:w="612" w:type="pct"/>
            <w:vAlign w:val="center"/>
          </w:tcPr>
          <w:p w14:paraId="1EB92F0B">
            <w:pPr>
              <w:pStyle w:val="32"/>
              <w:widowControl w:val="0"/>
              <w:spacing w:before="0" w:beforeAutospacing="0" w:after="0" w:afterAutospacing="0" w:line="360" w:lineRule="auto"/>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代理及评审费用</w:t>
            </w:r>
          </w:p>
        </w:tc>
        <w:tc>
          <w:tcPr>
            <w:tcW w:w="3891" w:type="pct"/>
            <w:vAlign w:val="center"/>
          </w:tcPr>
          <w:p w14:paraId="531F2335">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rPr>
              <w:t>中标人</w:t>
            </w:r>
          </w:p>
          <w:p w14:paraId="7256C3A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现金或转账</w:t>
            </w:r>
          </w:p>
          <w:p w14:paraId="078947A0">
            <w:pPr>
              <w:pStyle w:val="3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color w:val="auto"/>
                <w:sz w:val="24"/>
                <w:highlight w:val="none"/>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none"/>
                <w:lang w:val="en-US" w:eastAsia="zh-CN" w:bidi="ar-SA"/>
              </w:rPr>
              <w:t>收费标准：</w:t>
            </w:r>
            <w:r>
              <w:rPr>
                <w:rFonts w:hint="eastAsia" w:ascii="宋体" w:hAnsi="宋体" w:eastAsia="宋体" w:cs="宋体"/>
                <w:color w:val="auto"/>
                <w:sz w:val="24"/>
                <w:szCs w:val="24"/>
                <w:highlight w:val="none"/>
                <w:u w:val="single" w:color="auto"/>
                <w:lang w:val="en-US" w:eastAsia="zh-CN"/>
              </w:rPr>
              <w:t>1500元（</w:t>
            </w:r>
            <w:r>
              <w:rPr>
                <w:rFonts w:hint="eastAsia" w:ascii="宋体" w:hAnsi="宋体" w:eastAsia="宋体" w:cs="宋体"/>
                <w:b w:val="0"/>
                <w:bCs w:val="0"/>
                <w:color w:val="auto"/>
                <w:kern w:val="2"/>
                <w:sz w:val="24"/>
                <w:szCs w:val="24"/>
                <w:highlight w:val="none"/>
                <w:u w:val="single"/>
                <w:lang w:val="en-US" w:eastAsia="zh-CN" w:bidi="ar-SA"/>
              </w:rPr>
              <w:t xml:space="preserve">评审费另计，以实际发生为准） </w:t>
            </w:r>
          </w:p>
        </w:tc>
      </w:tr>
      <w:tr w14:paraId="524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496" w:type="pct"/>
            <w:vAlign w:val="center"/>
          </w:tcPr>
          <w:p w14:paraId="241F9FE7">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rPr>
              <w:t>3</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3</w:t>
            </w:r>
          </w:p>
        </w:tc>
        <w:tc>
          <w:tcPr>
            <w:tcW w:w="612" w:type="pct"/>
            <w:vAlign w:val="center"/>
          </w:tcPr>
          <w:p w14:paraId="58217240">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891" w:type="pct"/>
            <w:vAlign w:val="center"/>
          </w:tcPr>
          <w:p w14:paraId="4922C9E8">
            <w:pPr>
              <w:keepNext w:val="0"/>
              <w:keepLines w:val="0"/>
              <w:widowControl/>
              <w:suppressLineNumbers w:val="0"/>
              <w:spacing w:line="360" w:lineRule="auto"/>
              <w:jc w:val="left"/>
              <w:rPr>
                <w:rFonts w:hint="eastAsia" w:ascii="宋体" w:hAnsi="宋体" w:eastAsia="宋体" w:cs="宋体"/>
                <w:b w:val="0"/>
                <w:bCs w:val="0"/>
                <w:color w:val="auto"/>
                <w:highlight w:val="none"/>
                <w:u w:val="single"/>
              </w:rPr>
            </w:pPr>
            <w:r>
              <w:rPr>
                <w:rFonts w:hint="eastAsia" w:ascii="宋体" w:hAnsi="宋体" w:eastAsia="宋体" w:cs="宋体"/>
                <w:b w:val="0"/>
                <w:color w:val="auto"/>
                <w:sz w:val="24"/>
                <w:highlight w:val="none"/>
              </w:rPr>
              <w:t>递交方式：</w:t>
            </w:r>
            <w:r>
              <w:rPr>
                <w:rFonts w:hint="eastAsia" w:ascii="宋体" w:hAnsi="宋体" w:eastAsia="宋体" w:cs="宋体"/>
                <w:b w:val="0"/>
                <w:bCs w:val="0"/>
                <w:color w:val="auto"/>
                <w:kern w:val="0"/>
                <w:sz w:val="24"/>
                <w:szCs w:val="24"/>
                <w:highlight w:val="none"/>
                <w:u w:val="single"/>
                <w:lang w:val="en-US" w:eastAsia="zh-CN"/>
              </w:rPr>
              <w:t>投标人通过书面形式提出，一份质疑函只能针对一个项目提出质疑，且针对同一采购程序环节的质疑应当一次性提出。</w:t>
            </w:r>
          </w:p>
          <w:p w14:paraId="1AE3F721">
            <w:pPr>
              <w:pStyle w:val="32"/>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val="en-US" w:eastAsia="zh-CN"/>
              </w:rPr>
              <w:t>滁州市疾病预防控制中心或安徽泓樾工程项目管理有限公司</w:t>
            </w:r>
          </w:p>
          <w:p w14:paraId="74C78483">
            <w:pPr>
              <w:pStyle w:val="32"/>
              <w:widowControl w:val="0"/>
              <w:spacing w:before="0" w:beforeAutospacing="0" w:after="0" w:afterAutospacing="0" w:line="360" w:lineRule="auto"/>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0550-3519356或13083326075</w:t>
            </w:r>
          </w:p>
          <w:p w14:paraId="29923B50">
            <w:pPr>
              <w:pStyle w:val="32"/>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val="en-US" w:eastAsia="zh-CN"/>
              </w:rPr>
              <w:t>滁州市会峰西路669-1号或滁州市南谯区港汇中心B座10楼</w:t>
            </w:r>
          </w:p>
        </w:tc>
      </w:tr>
      <w:tr w14:paraId="5637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7EEDDE0D">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612" w:type="pct"/>
            <w:vAlign w:val="center"/>
          </w:tcPr>
          <w:p w14:paraId="64C00305">
            <w:pPr>
              <w:pStyle w:val="32"/>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其他内容</w:t>
            </w:r>
          </w:p>
        </w:tc>
        <w:tc>
          <w:tcPr>
            <w:tcW w:w="3891" w:type="pct"/>
            <w:vAlign w:val="center"/>
          </w:tcPr>
          <w:p w14:paraId="3D717CA1">
            <w:pPr>
              <w:pStyle w:val="32"/>
              <w:widowControl w:val="0"/>
              <w:numPr>
                <w:ilvl w:val="0"/>
                <w:numId w:val="0"/>
              </w:numPr>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1、解释权：</w:t>
            </w:r>
          </w:p>
          <w:p w14:paraId="29C8240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5A690ED6">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15D7E672">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2647B544">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3EA279E9">
            <w:pPr>
              <w:pStyle w:val="32"/>
              <w:widowControl w:val="0"/>
              <w:numPr>
                <w:ilvl w:val="0"/>
                <w:numId w:val="0"/>
              </w:numPr>
              <w:spacing w:before="0" w:beforeAutospacing="0" w:after="0" w:afterAutospacing="0" w:line="360" w:lineRule="auto"/>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tc>
      </w:tr>
      <w:tr w14:paraId="4150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586CE7F4">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
                <w:bCs w:val="0"/>
                <w:color w:val="auto"/>
                <w:kern w:val="2"/>
                <w:highlight w:val="none"/>
                <w:lang w:val="en-US" w:eastAsia="zh-CN"/>
              </w:rPr>
            </w:pPr>
            <w:r>
              <w:rPr>
                <w:rFonts w:hint="eastAsia" w:ascii="宋体" w:hAnsi="宋体" w:eastAsia="宋体" w:cs="宋体"/>
                <w:b/>
                <w:bCs w:val="0"/>
                <w:color w:val="auto"/>
                <w:kern w:val="2"/>
                <w:highlight w:val="none"/>
                <w:lang w:val="en-US" w:eastAsia="zh-CN"/>
              </w:rPr>
              <w:t>33</w:t>
            </w:r>
          </w:p>
        </w:tc>
        <w:tc>
          <w:tcPr>
            <w:tcW w:w="612" w:type="pct"/>
            <w:vAlign w:val="center"/>
          </w:tcPr>
          <w:p w14:paraId="1ED89F81">
            <w:pPr>
              <w:pStyle w:val="32"/>
              <w:widowControl w:val="0"/>
              <w:spacing w:before="0" w:beforeAutospacing="0" w:after="0" w:afterAutospacing="0" w:line="360" w:lineRule="auto"/>
              <w:jc w:val="both"/>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投标文件数量</w:t>
            </w:r>
          </w:p>
        </w:tc>
        <w:tc>
          <w:tcPr>
            <w:tcW w:w="3891" w:type="pct"/>
            <w:vAlign w:val="center"/>
          </w:tcPr>
          <w:p w14:paraId="25BE1959">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正本1份，副本2份，正副本不一致时，以正本为准。</w:t>
            </w:r>
          </w:p>
        </w:tc>
      </w:tr>
      <w:tr w14:paraId="3EC7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64A8D8A2">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
                <w:bCs w:val="0"/>
                <w:color w:val="auto"/>
                <w:kern w:val="2"/>
                <w:highlight w:val="none"/>
                <w:lang w:val="en-US" w:eastAsia="zh-CN"/>
              </w:rPr>
            </w:pPr>
            <w:r>
              <w:rPr>
                <w:rFonts w:hint="eastAsia" w:ascii="宋体" w:hAnsi="宋体" w:eastAsia="宋体" w:cs="宋体"/>
                <w:b/>
                <w:bCs w:val="0"/>
                <w:color w:val="auto"/>
                <w:kern w:val="2"/>
                <w:highlight w:val="none"/>
                <w:lang w:val="en-US" w:eastAsia="zh-CN"/>
              </w:rPr>
              <w:t>34</w:t>
            </w:r>
          </w:p>
        </w:tc>
        <w:tc>
          <w:tcPr>
            <w:tcW w:w="612" w:type="pct"/>
            <w:vAlign w:val="center"/>
          </w:tcPr>
          <w:p w14:paraId="1A49F5BE">
            <w:pPr>
              <w:pStyle w:val="32"/>
              <w:widowControl w:val="0"/>
              <w:spacing w:before="0" w:beforeAutospacing="0" w:after="0" w:afterAutospacing="0" w:line="360" w:lineRule="auto"/>
              <w:jc w:val="both"/>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签字或盖章及密封要求</w:t>
            </w:r>
          </w:p>
        </w:tc>
        <w:tc>
          <w:tcPr>
            <w:tcW w:w="3891" w:type="pct"/>
            <w:vAlign w:val="center"/>
          </w:tcPr>
          <w:p w14:paraId="35EE4C60">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一正两副装订成册，</w:t>
            </w:r>
            <w:r>
              <w:rPr>
                <w:rFonts w:hint="eastAsia" w:ascii="宋体" w:hAnsi="宋体" w:eastAsia="宋体" w:cs="宋体"/>
                <w:b/>
                <w:bCs w:val="0"/>
                <w:color w:val="auto"/>
                <w:sz w:val="24"/>
                <w:szCs w:val="24"/>
                <w:highlight w:val="none"/>
                <w:lang w:val="en-US" w:eastAsia="zh-CN"/>
              </w:rPr>
              <w:t>不得活页装订，</w:t>
            </w:r>
            <w:r>
              <w:rPr>
                <w:rFonts w:hint="eastAsia" w:ascii="宋体" w:hAnsi="宋体" w:eastAsia="宋体" w:cs="宋体"/>
                <w:b/>
                <w:bCs w:val="0"/>
                <w:color w:val="auto"/>
                <w:sz w:val="24"/>
                <w:szCs w:val="24"/>
                <w:highlight w:val="none"/>
              </w:rPr>
              <w:t>密封</w:t>
            </w:r>
            <w:r>
              <w:rPr>
                <w:rFonts w:hint="eastAsia" w:ascii="宋体" w:hAnsi="宋体" w:eastAsia="宋体" w:cs="宋体"/>
                <w:b/>
                <w:bCs w:val="0"/>
                <w:color w:val="auto"/>
                <w:sz w:val="24"/>
                <w:szCs w:val="24"/>
                <w:highlight w:val="none"/>
                <w:lang w:val="en-US" w:eastAsia="zh-CN"/>
              </w:rPr>
              <w:t>于</w:t>
            </w:r>
            <w:r>
              <w:rPr>
                <w:rFonts w:hint="eastAsia" w:ascii="宋体" w:hAnsi="宋体" w:eastAsia="宋体" w:cs="宋体"/>
                <w:b/>
                <w:bCs w:val="0"/>
                <w:color w:val="auto"/>
                <w:sz w:val="24"/>
                <w:szCs w:val="24"/>
                <w:highlight w:val="none"/>
              </w:rPr>
              <w:t>档案袋中，各部分档案袋封面注明项目名称、单位、联系人及联系方式</w:t>
            </w:r>
          </w:p>
        </w:tc>
      </w:tr>
      <w:tr w14:paraId="6B5F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6" w:type="pct"/>
            <w:vAlign w:val="center"/>
          </w:tcPr>
          <w:p w14:paraId="67BBF9DE">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
                <w:bCs w:val="0"/>
                <w:color w:val="auto"/>
                <w:kern w:val="2"/>
                <w:highlight w:val="none"/>
                <w:lang w:val="en-US" w:eastAsia="zh-CN"/>
              </w:rPr>
            </w:pPr>
            <w:r>
              <w:rPr>
                <w:rFonts w:hint="eastAsia" w:ascii="宋体" w:hAnsi="宋体" w:eastAsia="宋体" w:cs="宋体"/>
                <w:b/>
                <w:bCs w:val="0"/>
                <w:color w:val="auto"/>
                <w:kern w:val="2"/>
                <w:highlight w:val="none"/>
                <w:lang w:val="en-US" w:eastAsia="zh-CN"/>
              </w:rPr>
              <w:t>35</w:t>
            </w:r>
          </w:p>
        </w:tc>
        <w:tc>
          <w:tcPr>
            <w:tcW w:w="612" w:type="pct"/>
            <w:vAlign w:val="center"/>
          </w:tcPr>
          <w:p w14:paraId="3057A2CD">
            <w:pPr>
              <w:pStyle w:val="32"/>
              <w:widowControl w:val="0"/>
              <w:spacing w:before="0" w:beforeAutospacing="0" w:after="0" w:afterAutospacing="0" w:line="360" w:lineRule="auto"/>
              <w:jc w:val="both"/>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投标文件提交截止时间</w:t>
            </w:r>
          </w:p>
        </w:tc>
        <w:tc>
          <w:tcPr>
            <w:tcW w:w="3891" w:type="pct"/>
            <w:vAlign w:val="center"/>
          </w:tcPr>
          <w:p w14:paraId="0EB23D11">
            <w:pPr>
              <w:spacing w:line="360" w:lineRule="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递交投标文件截止时间：</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lang w:val="en-US" w:eastAsia="zh-CN"/>
              </w:rPr>
              <w:t xml:space="preserve"> 31</w:t>
            </w:r>
            <w:bookmarkStart w:id="180" w:name="_GoBack"/>
            <w:bookmarkEnd w:id="180"/>
            <w:r>
              <w:rPr>
                <w:rFonts w:hint="eastAsia" w:ascii="宋体" w:hAnsi="宋体" w:eastAsia="宋体" w:cs="宋体"/>
                <w:color w:val="auto"/>
                <w:sz w:val="24"/>
                <w:szCs w:val="24"/>
                <w:highlight w:val="none"/>
                <w:u w:val="none"/>
                <w:lang w:val="en-US" w:eastAsia="zh-CN"/>
              </w:rPr>
              <w:t>日</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none"/>
                <w:lang w:val="en-US" w:eastAsia="zh-CN"/>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u w:val="none"/>
                <w:lang w:val="en-US" w:eastAsia="zh-CN"/>
              </w:rPr>
              <w:t>分</w:t>
            </w:r>
            <w:r>
              <w:rPr>
                <w:rFonts w:hint="eastAsia" w:ascii="宋体" w:hAnsi="宋体" w:eastAsia="宋体" w:cs="宋体"/>
                <w:b/>
                <w:bCs w:val="0"/>
                <w:color w:val="auto"/>
                <w:sz w:val="24"/>
                <w:szCs w:val="24"/>
                <w:highlight w:val="none"/>
                <w:lang w:val="en-US" w:eastAsia="zh-CN"/>
              </w:rPr>
              <w:t>（</w:t>
            </w:r>
            <w:r>
              <w:rPr>
                <w:rFonts w:hint="eastAsia" w:ascii="宋体" w:hAnsi="宋体" w:eastAsia="宋体" w:cs="宋体"/>
                <w:b/>
                <w:bCs w:val="0"/>
                <w:color w:val="auto"/>
                <w:sz w:val="24"/>
                <w:szCs w:val="24"/>
                <w:highlight w:val="none"/>
              </w:rPr>
              <w:t>北京时间）</w:t>
            </w:r>
          </w:p>
          <w:p w14:paraId="674782EC">
            <w:pPr>
              <w:spacing w:line="360" w:lineRule="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注：以投标人在投标截止时间前递交的投标文件为准，逾期提交的，投标文件将被拒绝。</w:t>
            </w:r>
          </w:p>
        </w:tc>
      </w:tr>
    </w:tbl>
    <w:p w14:paraId="143591C6">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5" w:name="_Toc14880"/>
      <w:bookmarkStart w:id="6" w:name="_Toc24882"/>
      <w:r>
        <w:rPr>
          <w:rFonts w:hint="eastAsia" w:ascii="宋体" w:hAnsi="宋体" w:eastAsia="宋体" w:cs="宋体"/>
          <w:b/>
          <w:color w:val="auto"/>
          <w:sz w:val="24"/>
          <w:szCs w:val="24"/>
          <w:highlight w:val="none"/>
        </w:rPr>
        <w:t>二、投标人须知正文</w:t>
      </w:r>
      <w:bookmarkEnd w:id="5"/>
      <w:bookmarkEnd w:id="6"/>
    </w:p>
    <w:p w14:paraId="1E5684B4">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45F256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16068A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639CC2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1FB75B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组织或者自然人。分支机构不得参加政府采购活动，但银行、保险、石油石化、电力、电信等特殊行业除外。本项目的投标人须满足以下条件：</w:t>
      </w:r>
    </w:p>
    <w:p w14:paraId="5B55B8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200116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5384AF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中写明允许采购进口产品，投标人应保证所投产品可履行合法报通关手续进入中国关境内。</w:t>
      </w:r>
    </w:p>
    <w:p w14:paraId="598025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F239813">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598282F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63B33A4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7A0621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4913F77F">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1FC27823">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本项目本级和上级财政部门、政府采购监督管理部门的政府采购有关规定的约束，其权利受到上述法律法规的保护。</w:t>
      </w:r>
    </w:p>
    <w:p w14:paraId="3181F015">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5.招标文件构成</w:t>
      </w:r>
    </w:p>
    <w:p w14:paraId="79B304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192081F4">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0BE42EA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51E5EFC3">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41EE0F55">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1CDA99F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0A6F4B04">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341F30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056AB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投标人应认真阅读招标文件所有的事项、格式、条款和技术规范等。</w:t>
      </w:r>
    </w:p>
    <w:p w14:paraId="42BC3D4A">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6.招标文件的澄清与修改</w:t>
      </w:r>
    </w:p>
    <w:p w14:paraId="310E44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规定的网上询问截止时间前以电子邮件提交给采购代理机构（邮箱：</w:t>
      </w:r>
      <w:r>
        <w:rPr>
          <w:rFonts w:hint="eastAsia" w:ascii="宋体" w:hAnsi="宋体" w:eastAsia="宋体" w:cs="宋体"/>
          <w:color w:val="auto"/>
          <w:sz w:val="24"/>
          <w:highlight w:val="none"/>
          <w:lang w:eastAsia="zh-CN"/>
        </w:rPr>
        <w:t>1182671189@qq.com</w:t>
      </w:r>
      <w:r>
        <w:rPr>
          <w:rFonts w:hint="eastAsia" w:ascii="宋体" w:hAnsi="宋体" w:eastAsia="宋体" w:cs="宋体"/>
          <w:color w:val="auto"/>
          <w:sz w:val="24"/>
          <w:highlight w:val="none"/>
        </w:rPr>
        <w:t>）。</w:t>
      </w:r>
    </w:p>
    <w:p w14:paraId="4BB205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w:t>
      </w:r>
      <w:r>
        <w:rPr>
          <w:rFonts w:hint="eastAsia" w:ascii="宋体" w:hAnsi="宋体" w:eastAsia="宋体" w:cs="宋体"/>
          <w:color w:val="auto"/>
          <w:sz w:val="24"/>
          <w:highlight w:val="none"/>
          <w:lang w:val="en-US" w:eastAsia="zh-CN"/>
        </w:rPr>
        <w:t>滁州市疾病预防控制中心官网</w:t>
      </w:r>
      <w:r>
        <w:rPr>
          <w:rFonts w:hint="eastAsia" w:ascii="宋体" w:hAnsi="宋体" w:eastAsia="宋体" w:cs="宋体"/>
          <w:color w:val="auto"/>
          <w:sz w:val="24"/>
          <w:highlight w:val="none"/>
        </w:rPr>
        <w:t>以发布更正公告的方式，澄清或修改招标文件，更正公告的内容作为招标文件的组成部分，对投标人起约束作用。</w:t>
      </w:r>
    </w:p>
    <w:p w14:paraId="176A0D9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4C09A8C">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3A75824E">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7.投标范围及投标文件中标准和计量单位的使用</w:t>
      </w:r>
    </w:p>
    <w:p w14:paraId="65570C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2252ECD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24998BF">
      <w:pPr>
        <w:spacing w:line="360" w:lineRule="auto"/>
        <w:ind w:firstLine="435"/>
        <w:rPr>
          <w:rFonts w:hint="eastAsia" w:ascii="宋体" w:hAnsi="宋体" w:eastAsia="宋体" w:cs="宋体"/>
          <w:color w:val="auto"/>
          <w:sz w:val="24"/>
          <w:highlight w:val="none"/>
        </w:rPr>
      </w:pPr>
      <w:bookmarkStart w:id="7"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.3无论招标文件中是否要求，投标人所投货物及伴随的服务和工程均应符合国家强制性标准。</w:t>
      </w:r>
    </w:p>
    <w:bookmarkEnd w:id="7"/>
    <w:p w14:paraId="728F4C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713E03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7BD5548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757EE16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5CD30AA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8" w:name="_Hlk11703583"/>
      <w:r>
        <w:rPr>
          <w:rFonts w:hint="eastAsia" w:ascii="宋体" w:hAnsi="宋体" w:eastAsia="宋体" w:cs="宋体"/>
          <w:color w:val="auto"/>
          <w:sz w:val="24"/>
          <w:highlight w:val="none"/>
          <w:lang w:val="en-US" w:eastAsia="zh-CN"/>
        </w:rPr>
        <w:t>等。</w:t>
      </w:r>
    </w:p>
    <w:bookmarkEnd w:id="8"/>
    <w:p w14:paraId="181E98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737F0A0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27ECF4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6F4F46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6993D4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50229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785BD9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24608A5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7CD778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50AE813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7C316B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6D33D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12A2C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36F4342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0B52E54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w:t>
      </w:r>
      <w:r>
        <w:rPr>
          <w:rFonts w:hint="eastAsia" w:ascii="宋体" w:hAnsi="宋体" w:eastAsia="宋体" w:cs="宋体"/>
          <w:color w:val="auto"/>
          <w:sz w:val="24"/>
          <w:highlight w:val="none"/>
          <w:lang w:val="en-US" w:eastAsia="zh-CN"/>
        </w:rPr>
        <w:t>递交投标文件</w:t>
      </w:r>
      <w:r>
        <w:rPr>
          <w:rFonts w:hint="eastAsia" w:ascii="宋体" w:hAnsi="宋体" w:eastAsia="宋体" w:cs="宋体"/>
          <w:color w:val="auto"/>
          <w:sz w:val="24"/>
          <w:highlight w:val="none"/>
        </w:rPr>
        <w:t>。</w:t>
      </w:r>
    </w:p>
    <w:p w14:paraId="25F55A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，并可以补充、修改或者撤回投标文件。投标截止时间前未完成投标文件</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的，视为撤回投标文件。未按规定投标截止时间后送达的投标文件，应当拒收。</w:t>
      </w:r>
    </w:p>
    <w:p w14:paraId="772ABDB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1416D78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开标时，采购代理机构将公布开标结果，公布内容包括投标人名称、投标价格及招标文件规定的内容。</w:t>
      </w:r>
    </w:p>
    <w:p w14:paraId="72B40D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58F549E5">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198D20D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w:t>
      </w:r>
    </w:p>
    <w:p w14:paraId="400B0FB6">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311083E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5FA24B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214E10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投标文件的澄清</w:t>
      </w:r>
    </w:p>
    <w:p w14:paraId="7B113A4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454667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如有询标，投标人授权代表（或法定代表人）</w:t>
      </w:r>
      <w:r>
        <w:rPr>
          <w:rFonts w:hint="eastAsia" w:ascii="宋体" w:hAnsi="宋体" w:eastAsia="宋体" w:cs="宋体"/>
          <w:color w:val="auto"/>
          <w:sz w:val="24"/>
          <w:highlight w:val="none"/>
          <w:lang w:val="en-US" w:eastAsia="zh-CN"/>
        </w:rPr>
        <w:t>可</w:t>
      </w:r>
      <w:r>
        <w:rPr>
          <w:rFonts w:hint="eastAsia" w:ascii="宋体" w:hAnsi="宋体" w:eastAsia="宋体" w:cs="宋体"/>
          <w:color w:val="auto"/>
          <w:sz w:val="24"/>
          <w:highlight w:val="none"/>
        </w:rPr>
        <w:t>接受网上询标，也可凭本人有效身份证明参加询标。因投标人授权代表联系不上、没有及时</w:t>
      </w:r>
      <w:r>
        <w:rPr>
          <w:rFonts w:hint="eastAsia" w:ascii="宋体" w:hAnsi="宋体" w:eastAsia="宋体" w:cs="宋体"/>
          <w:color w:val="auto"/>
          <w:sz w:val="24"/>
          <w:highlight w:val="none"/>
          <w:lang w:val="en-US" w:eastAsia="zh-CN"/>
        </w:rPr>
        <w:t>到场</w:t>
      </w:r>
      <w:r>
        <w:rPr>
          <w:rFonts w:hint="eastAsia" w:ascii="宋体" w:hAnsi="宋体" w:eastAsia="宋体" w:cs="宋体"/>
          <w:color w:val="auto"/>
          <w:sz w:val="24"/>
          <w:highlight w:val="none"/>
        </w:rPr>
        <w:t>等情形而无法接受评标委员会询标的，投标人自行承担相关风险。</w:t>
      </w:r>
    </w:p>
    <w:p w14:paraId="0122812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.2投标人的澄清、说明或补正将作为投标文件的一部分。</w:t>
      </w:r>
    </w:p>
    <w:p w14:paraId="3DA466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.3评标委员会对投标人提交的澄清、说明或补正有疑问的，可以要求投标人进一步澄清、说明或补正，直至满足评标委员会的要求。</w:t>
      </w:r>
    </w:p>
    <w:p w14:paraId="53428F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投标文件报价出现前后不一致的，按照下列规定修正：</w:t>
      </w:r>
    </w:p>
    <w:p w14:paraId="3C57B1F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74909C4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7F40798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74806E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15F1CA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8D7DD48">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3F827B2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67A534A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19A91A1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46E9FB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0ECFD1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85C60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624F8ED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465AD8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1978A4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35BEE6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64BCFFB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5E13D0D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76EF3C6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2D052C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445B81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0FF5DFE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49D7CE8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51E432F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2E9E47F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4FCA98E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284F82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2DE51C9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38D82BA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2B7140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64A15A8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2E34B3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64724ED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01B9B22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05FA4C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.1评标委员会依据本项目招标文件所约定的评标方法，对实质上响应招标文件的投标人按下列方法进行排序，确定中标候选人：</w:t>
      </w:r>
    </w:p>
    <w:p w14:paraId="530D71CB">
      <w:pPr>
        <w:spacing w:line="360" w:lineRule="auto"/>
        <w:ind w:firstLine="736" w:firstLineChars="307"/>
        <w:rPr>
          <w:rFonts w:hint="eastAsia" w:ascii="宋体" w:hAnsi="宋体" w:eastAsia="宋体" w:cs="宋体"/>
          <w:color w:val="auto"/>
          <w:sz w:val="24"/>
          <w:highlight w:val="none"/>
        </w:rPr>
      </w:pPr>
      <w:r>
        <w:rPr>
          <w:rFonts w:hint="eastAsia" w:ascii="宋体" w:hAnsi="宋体" w:eastAsia="宋体" w:cs="宋体"/>
          <w:color w:val="auto"/>
          <w:sz w:val="24"/>
          <w:highlight w:val="none"/>
        </w:rPr>
        <w:t>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2C01F50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3C3963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5F0ACB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1944BB0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3240EAD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614A5AD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C7AB12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76ECD60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49B4158A">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w:t>
      </w:r>
      <w:r>
        <w:rPr>
          <w:rFonts w:hint="eastAsia" w:ascii="宋体" w:hAnsi="宋体" w:eastAsia="宋体" w:cs="宋体"/>
          <w:color w:val="auto"/>
          <w:sz w:val="24"/>
          <w:szCs w:val="18"/>
          <w:highlight w:val="none"/>
          <w:lang w:val="en-US" w:eastAsia="zh-CN"/>
        </w:rPr>
        <w:t>人</w:t>
      </w:r>
      <w:r>
        <w:rPr>
          <w:rFonts w:hint="eastAsia" w:ascii="宋体" w:hAnsi="宋体" w:eastAsia="宋体" w:cs="宋体"/>
          <w:color w:val="auto"/>
          <w:sz w:val="24"/>
          <w:szCs w:val="18"/>
          <w:highlight w:val="none"/>
        </w:rPr>
        <w:t>将在</w:t>
      </w:r>
      <w:r>
        <w:rPr>
          <w:rFonts w:hint="eastAsia" w:ascii="宋体" w:hAnsi="宋体" w:eastAsia="宋体" w:cs="宋体"/>
          <w:color w:val="auto"/>
          <w:sz w:val="24"/>
          <w:szCs w:val="18"/>
          <w:highlight w:val="none"/>
          <w:lang w:val="en-US" w:eastAsia="zh-CN"/>
        </w:rPr>
        <w:t>滁州市疾病预防控制中心官网</w:t>
      </w:r>
      <w:r>
        <w:rPr>
          <w:rFonts w:hint="eastAsia" w:ascii="宋体" w:hAnsi="宋体" w:eastAsia="宋体" w:cs="宋体"/>
          <w:color w:val="auto"/>
          <w:sz w:val="24"/>
          <w:szCs w:val="18"/>
          <w:highlight w:val="none"/>
        </w:rPr>
        <w:t>上发布中标结果公告。</w:t>
      </w:r>
    </w:p>
    <w:p w14:paraId="42F9307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75F1B1E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549A53E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35455A1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3AC107B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6FA087A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23C39E2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5A2342BB">
      <w:pPr>
        <w:spacing w:line="360" w:lineRule="auto"/>
        <w:ind w:firstLine="437"/>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本项目不采用</w:t>
      </w:r>
      <w:r>
        <w:rPr>
          <w:rFonts w:hint="eastAsia" w:ascii="宋体" w:hAnsi="宋体" w:eastAsia="宋体" w:cs="宋体"/>
          <w:b/>
          <w:color w:val="auto"/>
          <w:sz w:val="24"/>
          <w:highlight w:val="none"/>
          <w:lang w:eastAsia="zh-CN"/>
        </w:rPr>
        <w:t>）</w:t>
      </w:r>
    </w:p>
    <w:p w14:paraId="7EF791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3F89C717">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2BA6420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0E3D67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80C5D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57F4A7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73A645B3">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77D09E1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528EDE9D">
      <w:pPr>
        <w:spacing w:line="360" w:lineRule="auto"/>
        <w:ind w:firstLine="437"/>
        <w:outlineLvl w:val="2"/>
        <w:rPr>
          <w:rFonts w:hint="eastAsia" w:ascii="宋体" w:hAnsi="宋体" w:eastAsia="宋体" w:cs="宋体"/>
          <w:b/>
          <w:color w:val="auto"/>
          <w:sz w:val="24"/>
          <w:highlight w:val="none"/>
        </w:rPr>
      </w:pPr>
      <w:bookmarkStart w:id="9" w:name="_Toc2583661"/>
      <w:bookmarkStart w:id="10" w:name="_Toc518923100"/>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9"/>
      <w:bookmarkEnd w:id="10"/>
    </w:p>
    <w:p w14:paraId="038F4B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7840E20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5CC3DCA8">
      <w:pPr>
        <w:spacing w:line="360" w:lineRule="auto"/>
        <w:ind w:firstLine="437"/>
        <w:outlineLvl w:val="2"/>
        <w:rPr>
          <w:rFonts w:hint="eastAsia" w:ascii="宋体" w:hAnsi="宋体" w:eastAsia="宋体" w:cs="宋体"/>
          <w:b/>
          <w:color w:val="auto"/>
          <w:sz w:val="24"/>
          <w:highlight w:val="none"/>
        </w:rPr>
      </w:pPr>
      <w:bookmarkStart w:id="11" w:name="_Toc518923101"/>
      <w:bookmarkStart w:id="12" w:name="_Toc2583662"/>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11"/>
      <w:bookmarkEnd w:id="12"/>
    </w:p>
    <w:p w14:paraId="502EAC6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477A900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489CA2E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1FD96A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DEA18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201F75D2">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65CD53BB">
      <w:pPr>
        <w:spacing w:line="360" w:lineRule="auto"/>
        <w:jc w:val="center"/>
        <w:outlineLvl w:val="0"/>
        <w:rPr>
          <w:rFonts w:hint="eastAsia" w:ascii="宋体" w:hAnsi="宋体" w:eastAsia="宋体" w:cs="宋体"/>
          <w:b/>
          <w:color w:val="auto"/>
          <w:sz w:val="28"/>
          <w:highlight w:val="none"/>
          <w:lang w:eastAsia="zh-CN"/>
        </w:rPr>
      </w:pPr>
      <w:bookmarkStart w:id="13" w:name="_Toc10891"/>
      <w:r>
        <w:rPr>
          <w:rFonts w:hint="eastAsia" w:ascii="宋体" w:hAnsi="宋体" w:eastAsia="宋体" w:cs="宋体"/>
          <w:b/>
          <w:color w:val="auto"/>
          <w:sz w:val="28"/>
          <w:highlight w:val="none"/>
        </w:rPr>
        <w:t>第三章  采购需求</w:t>
      </w:r>
      <w:bookmarkEnd w:id="13"/>
    </w:p>
    <w:p w14:paraId="0AFA7F43">
      <w:pPr>
        <w:spacing w:line="360" w:lineRule="auto"/>
        <w:ind w:firstLine="437"/>
        <w:outlineLvl w:val="1"/>
        <w:rPr>
          <w:rFonts w:hint="eastAsia" w:ascii="宋体" w:hAnsi="宋体" w:eastAsia="宋体" w:cs="宋体"/>
          <w:b/>
          <w:color w:val="auto"/>
          <w:sz w:val="24"/>
          <w:szCs w:val="18"/>
          <w:highlight w:val="none"/>
        </w:rPr>
      </w:pPr>
      <w:bookmarkStart w:id="14" w:name="_Toc2554"/>
      <w:bookmarkStart w:id="15" w:name="_Toc32151"/>
      <w:r>
        <w:rPr>
          <w:rFonts w:hint="eastAsia" w:ascii="宋体" w:hAnsi="宋体" w:eastAsia="宋体" w:cs="宋体"/>
          <w:b/>
          <w:color w:val="auto"/>
          <w:sz w:val="24"/>
          <w:szCs w:val="18"/>
          <w:highlight w:val="none"/>
        </w:rPr>
        <w:t>一、采购需求前附表</w:t>
      </w:r>
      <w:bookmarkEnd w:id="14"/>
      <w:bookmarkEnd w:id="15"/>
    </w:p>
    <w:tbl>
      <w:tblPr>
        <w:tblStyle w:val="24"/>
        <w:tblW w:w="52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1921"/>
        <w:gridCol w:w="7343"/>
      </w:tblGrid>
      <w:tr w14:paraId="76D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2" w:type="pct"/>
            <w:vAlign w:val="center"/>
          </w:tcPr>
          <w:p w14:paraId="10D6A843">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920" w:type="pct"/>
            <w:vAlign w:val="center"/>
          </w:tcPr>
          <w:p w14:paraId="49C3D3BE">
            <w:pPr>
              <w:pStyle w:val="32"/>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516" w:type="pct"/>
            <w:vAlign w:val="center"/>
          </w:tcPr>
          <w:p w14:paraId="2D8164DA">
            <w:pPr>
              <w:pStyle w:val="32"/>
              <w:widowControl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5A94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2" w:type="pct"/>
            <w:vAlign w:val="center"/>
          </w:tcPr>
          <w:p w14:paraId="4295892F">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920" w:type="pct"/>
            <w:vAlign w:val="center"/>
          </w:tcPr>
          <w:p w14:paraId="4A5C8059">
            <w:pPr>
              <w:pStyle w:val="32"/>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516" w:type="pct"/>
            <w:vAlign w:val="center"/>
          </w:tcPr>
          <w:p w14:paraId="0C64C6B2">
            <w:pPr>
              <w:pStyle w:val="32"/>
              <w:widowControl w:val="0"/>
              <w:numPr>
                <w:ilvl w:val="0"/>
                <w:numId w:val="1"/>
              </w:numPr>
              <w:spacing w:before="0" w:beforeAutospacing="0" w:after="0" w:afterAutospacing="0" w:line="360" w:lineRule="auto"/>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u w:val="single"/>
                <w:lang w:val="en-US" w:eastAsia="zh-CN"/>
              </w:rPr>
              <w:t>本项目无预付款，根据年度考核得分支付合同价款（例：考核得分为90分，则支付总金额为合同金额的90%）；</w:t>
            </w:r>
          </w:p>
          <w:p w14:paraId="33A194BD">
            <w:pPr>
              <w:pStyle w:val="32"/>
              <w:widowControl w:val="0"/>
              <w:numPr>
                <w:ilvl w:val="0"/>
                <w:numId w:val="1"/>
              </w:numPr>
              <w:spacing w:before="0" w:beforeAutospacing="0" w:after="0" w:afterAutospacing="0" w:line="360" w:lineRule="auto"/>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u w:val="single"/>
                <w:lang w:val="en-US" w:eastAsia="zh-CN"/>
              </w:rPr>
              <w:t>第一年度考核期：自合同签订之日起至2026 年 12 月 31 日；第二、三年度考核期：为每年1月1日至12月31日。投标人在每个考核期内完成全部运维服务，且经招标人考核合格后，招标人根据考核得分情况支付对应考核年度的运维费用。</w:t>
            </w:r>
          </w:p>
          <w:p w14:paraId="07FC9E6B">
            <w:pPr>
              <w:pStyle w:val="32"/>
              <w:widowControl w:val="0"/>
              <w:numPr>
                <w:ilvl w:val="0"/>
                <w:numId w:val="0"/>
              </w:numPr>
              <w:spacing w:before="0" w:beforeAutospacing="0" w:after="0" w:afterAutospacing="0" w:line="360" w:lineRule="auto"/>
              <w:jc w:val="both"/>
              <w:rPr>
                <w:rFonts w:hint="default"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u w:val="single"/>
                <w:lang w:val="en-US" w:eastAsia="zh-CN"/>
              </w:rPr>
              <w:t>注：第一年根据实际运维服务天数进行结算及考核得分情况进行结算</w:t>
            </w:r>
          </w:p>
        </w:tc>
      </w:tr>
      <w:tr w14:paraId="2CF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2" w:type="pct"/>
            <w:vAlign w:val="center"/>
          </w:tcPr>
          <w:p w14:paraId="670D01BB">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920" w:type="pct"/>
            <w:vAlign w:val="center"/>
          </w:tcPr>
          <w:p w14:paraId="707EE75A">
            <w:pPr>
              <w:pStyle w:val="32"/>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服务</w:t>
            </w:r>
            <w:r>
              <w:rPr>
                <w:rFonts w:hint="eastAsia" w:ascii="宋体" w:hAnsi="宋体" w:eastAsia="宋体" w:cs="宋体"/>
                <w:b w:val="0"/>
                <w:color w:val="auto"/>
                <w:sz w:val="24"/>
                <w:highlight w:val="none"/>
              </w:rPr>
              <w:t>地点</w:t>
            </w:r>
          </w:p>
        </w:tc>
        <w:tc>
          <w:tcPr>
            <w:tcW w:w="3516" w:type="pct"/>
            <w:vAlign w:val="center"/>
          </w:tcPr>
          <w:p w14:paraId="75913D3A">
            <w:pPr>
              <w:pStyle w:val="32"/>
              <w:widowControl w:val="0"/>
              <w:spacing w:before="0" w:beforeAutospacing="0" w:after="0" w:afterAutospacing="0" w:line="360" w:lineRule="auto"/>
              <w:jc w:val="both"/>
              <w:rPr>
                <w:rFonts w:hint="eastAsia" w:ascii="宋体" w:hAnsi="宋体" w:eastAsia="宋体" w:cs="宋体"/>
                <w:b w:val="0"/>
                <w:color w:val="auto"/>
                <w:sz w:val="24"/>
                <w:highlight w:val="none"/>
                <w:lang w:val="en-US"/>
              </w:rPr>
            </w:pPr>
            <w:r>
              <w:rPr>
                <w:rFonts w:hint="eastAsia" w:ascii="宋体" w:hAnsi="宋体" w:eastAsia="宋体" w:cs="宋体"/>
                <w:b w:val="0"/>
                <w:color w:val="auto"/>
                <w:sz w:val="24"/>
                <w:highlight w:val="none"/>
                <w:u w:val="single"/>
                <w:lang w:val="en-US" w:eastAsia="zh-CN"/>
              </w:rPr>
              <w:t>根据合同约定执行</w:t>
            </w:r>
          </w:p>
        </w:tc>
      </w:tr>
      <w:tr w14:paraId="1F65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2" w:type="pct"/>
            <w:vAlign w:val="center"/>
          </w:tcPr>
          <w:p w14:paraId="52AD2C42">
            <w:pPr>
              <w:pStyle w:val="33"/>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920" w:type="pct"/>
            <w:vAlign w:val="center"/>
          </w:tcPr>
          <w:p w14:paraId="7A514501">
            <w:pPr>
              <w:pStyle w:val="32"/>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服务</w:t>
            </w:r>
            <w:r>
              <w:rPr>
                <w:rFonts w:hint="eastAsia" w:ascii="宋体" w:hAnsi="宋体" w:eastAsia="宋体" w:cs="宋体"/>
                <w:b w:val="0"/>
                <w:color w:val="auto"/>
                <w:sz w:val="24"/>
                <w:highlight w:val="none"/>
              </w:rPr>
              <w:t>期限</w:t>
            </w:r>
          </w:p>
        </w:tc>
        <w:tc>
          <w:tcPr>
            <w:tcW w:w="3516" w:type="pct"/>
            <w:vAlign w:val="center"/>
          </w:tcPr>
          <w:p w14:paraId="7618E6D2">
            <w:pPr>
              <w:pStyle w:val="32"/>
              <w:widowControl w:val="0"/>
              <w:spacing w:before="0" w:beforeAutospacing="0" w:after="0" w:afterAutospacing="0" w:line="360" w:lineRule="auto"/>
              <w:jc w:val="both"/>
              <w:rPr>
                <w:rFonts w:hint="eastAsia" w:ascii="宋体" w:hAnsi="宋体" w:eastAsia="宋体" w:cs="宋体"/>
                <w:b w:val="0"/>
                <w:color w:val="auto"/>
                <w:sz w:val="24"/>
                <w:highlight w:val="none"/>
                <w:lang w:val="en-US" w:eastAsia="zh-CN"/>
              </w:rPr>
            </w:pPr>
            <w:r>
              <w:rPr>
                <w:rFonts w:hint="eastAsia" w:ascii="宋体" w:hAnsi="宋体" w:eastAsia="宋体" w:cs="宋体"/>
                <w:color w:val="auto"/>
                <w:sz w:val="24"/>
                <w:highlight w:val="none"/>
                <w:u w:val="single"/>
                <w:lang w:val="en-US" w:eastAsia="zh-CN"/>
              </w:rPr>
              <w:t>2026 年 4 月 1 日起至 2028 年 12 月 31 日止。（合同一年一签，考核合格后续签下一年合同）</w:t>
            </w:r>
          </w:p>
        </w:tc>
      </w:tr>
    </w:tbl>
    <w:p w14:paraId="07DD597B">
      <w:pPr>
        <w:spacing w:line="360" w:lineRule="auto"/>
        <w:ind w:firstLine="437"/>
        <w:outlineLvl w:val="1"/>
        <w:rPr>
          <w:rFonts w:hint="eastAsia" w:ascii="宋体" w:hAnsi="宋体" w:eastAsia="宋体" w:cs="宋体"/>
          <w:b/>
          <w:color w:val="auto"/>
          <w:sz w:val="24"/>
          <w:szCs w:val="18"/>
          <w:highlight w:val="none"/>
          <w:lang w:val="en-US" w:eastAsia="zh-CN"/>
        </w:rPr>
      </w:pPr>
    </w:p>
    <w:p w14:paraId="6B73129B">
      <w:pPr>
        <w:spacing w:line="360" w:lineRule="auto"/>
        <w:ind w:firstLine="437"/>
        <w:outlineLvl w:val="1"/>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lang w:val="en-US" w:eastAsia="zh-CN"/>
        </w:rPr>
        <w:t>二、</w:t>
      </w:r>
      <w:r>
        <w:rPr>
          <w:rFonts w:hint="eastAsia" w:ascii="宋体" w:hAnsi="宋体" w:eastAsia="宋体" w:cs="宋体"/>
          <w:b/>
          <w:color w:val="auto"/>
          <w:sz w:val="24"/>
          <w:szCs w:val="18"/>
          <w:highlight w:val="none"/>
        </w:rPr>
        <w:t>项目介绍：</w:t>
      </w:r>
    </w:p>
    <w:p w14:paraId="0C0FD10F">
      <w:pPr>
        <w:numPr>
          <w:ilvl w:val="0"/>
          <w:numId w:val="2"/>
        </w:numPr>
        <w:spacing w:line="480" w:lineRule="auto"/>
        <w:ind w:left="0" w:leftChars="0" w:firstLine="42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项目概述</w:t>
      </w:r>
    </w:p>
    <w:p w14:paraId="497BD8F3">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为保障本单位卫生监督在线监测平台的稳定、高效运行，确保水质、辐射等关键监测数据的准确性与实时性，现拟采购一套综合性运维服务。本项目涵盖相关软硬件设备的日常维护、定期巡检、耗材更换及软件安全配合等工作，旨在通过专业化、规范化的运维管理，延长设备使用寿命，降低故障发生率，保障监测业务连续性。</w:t>
      </w:r>
    </w:p>
    <w:p w14:paraId="7BD23261">
      <w:pPr>
        <w:numPr>
          <w:ilvl w:val="0"/>
          <w:numId w:val="2"/>
        </w:numPr>
        <w:spacing w:line="480" w:lineRule="auto"/>
        <w:ind w:left="0" w:leftChars="0" w:firstLine="42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服务范围与内容</w:t>
      </w:r>
    </w:p>
    <w:p w14:paraId="3FE5C0F3">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硬件设备巡检与维护：对现场部署的22套固定式医疗辐射在线监测仪、14套游泳池水质多参数监测仪及4套饮用水水质多参数监测仪等核心设备进行每季度至少一次的全面巡检。巡检内容包括但不限于设备运行状态检查、传感器校准、管路清洗、电源系统检测、数据采集模块功能验证等。每次巡检需出具详尽的巡检报告，包含设备运行状况、发现的问题、处理措施及后续建议，并由双方签字确认。</w:t>
      </w:r>
    </w:p>
    <w:p w14:paraId="7E2D451D">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试剂定期更换与管理：根据设备运行情况和试剂有效期，定期对监测设备所需试剂进行更换。鉴于试剂种类和用量存在不确定性，供应商可安排技术人员现场查看，制定合理的试剂更换计划，并负责试剂的采购、运输、更换及废弃试剂的合规处理。</w:t>
      </w:r>
    </w:p>
    <w:p w14:paraId="7A10F289">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软件系统维护与安全配合：对配套的卫生监督在线监测平台进行日常维护，确保数据采集、传输、存储等功能正常。在软件安全方面，供应商需积极配合采购方开展系统漏洞排查、安全加固、补丁更新等工作，并协助完成相关安全检查和应急响应。</w:t>
      </w:r>
    </w:p>
    <w:p w14:paraId="242CFBA0">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4.应急响应与技术支持：提供7×24小时技术支持服务，系统和设备发生故障时，需在规定时间内响应并提供解决方案，必要时安排技术人员现场处理，确保故障及时排除。</w:t>
      </w:r>
    </w:p>
    <w:p w14:paraId="14AAA74A">
      <w:pPr>
        <w:numPr>
          <w:ilvl w:val="0"/>
          <w:numId w:val="2"/>
        </w:numPr>
        <w:spacing w:line="480" w:lineRule="auto"/>
        <w:ind w:left="0" w:leftChars="0" w:firstLine="42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服务要求</w:t>
      </w:r>
    </w:p>
    <w:p w14:paraId="13CEFC75">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1.人员资质：供应商需配备具备相关设备维护经验的专业技术人员，熟悉水质、辐射监测设备的工作原理和操作规范，具备软件系统维护和安全防护能力。</w:t>
      </w:r>
    </w:p>
    <w:p w14:paraId="7C9D7D30">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2.巡检与报告：每季度巡检需提前与采购方沟通确定时间，巡检过程需规范、细致，巡检报告需内容详实、数据准确、结论清晰。</w:t>
      </w:r>
    </w:p>
    <w:p w14:paraId="298DE1E6">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3.试剂管理：试剂更换需符合相关环保和安全标准，确保试剂质量可靠，更换过程不影响设备正常监测。</w:t>
      </w:r>
    </w:p>
    <w:p w14:paraId="5F6F3601">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4.安全合规：软件维护和安全配合工作需严格遵守国家相关网络安全法律法规和采购方的安全管理要求，确保系统数据安全。</w:t>
      </w:r>
    </w:p>
    <w:p w14:paraId="3C5526EF">
      <w:pPr>
        <w:numPr>
          <w:ilvl w:val="0"/>
          <w:numId w:val="2"/>
        </w:numPr>
        <w:spacing w:line="480" w:lineRule="auto"/>
        <w:ind w:left="0" w:leftChars="0" w:firstLine="42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验收标准</w:t>
      </w:r>
    </w:p>
    <w:p w14:paraId="2D126817">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1.每季度巡检报告经采购方审核确认无误。</w:t>
      </w:r>
    </w:p>
    <w:p w14:paraId="5004DC7F">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2.试剂更换记录完整，设备运行正常。</w:t>
      </w:r>
    </w:p>
    <w:p w14:paraId="5D4BB3B9">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br w:type="page"/>
      </w:r>
    </w:p>
    <w:p w14:paraId="41F7FF41">
      <w:pPr>
        <w:spacing w:line="480" w:lineRule="auto"/>
        <w:ind w:firstLine="435"/>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附件：滁州市卫生监督在线监测平台运维（2026年）项目（二次）供应商考核标准 </w:t>
      </w:r>
    </w:p>
    <w:p w14:paraId="433DEEC3">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考核标准适用于滁州市卫生监督在线监测平台运维（2026年）项目（二次）服务期内，采购人对中标供应商的日常履约、服务质量等情况的考核，考核结果作为合同续签、履约评价的核心依据，考核周期为每年度，满分为100分，80分及以上为合格，低于80分为不合格。</w:t>
      </w:r>
    </w:p>
    <w:p w14:paraId="2BDF921B">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一、硬件设备巡检与维护（30分）</w:t>
      </w:r>
    </w:p>
    <w:p w14:paraId="59E31422">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1.按要求每季度完成一次全面巡检，缺1次扣10分，巡检延迟每次扣5分，未提前与采购方沟通巡检时间每次扣3分。</w:t>
      </w:r>
    </w:p>
    <w:p w14:paraId="6286D84D">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2.巡检内容完整，涵盖设备运行状态、传感器校准等全部要求，漏检1项扣2分；巡检操作不规范，每次扣3分。</w:t>
      </w:r>
    </w:p>
    <w:p w14:paraId="46907972">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3.及时提交详尽巡检报告，报告内容缺设备状况、问题处理措施等核心项，每缺1项扣3分；报告数据不准确、结论模糊，每次扣4分；未完成双方签字确认，每次扣5分。</w:t>
      </w:r>
    </w:p>
    <w:p w14:paraId="22120012">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4.硬件设备故障排查及时，因维护不当导致设备故障率超5%，每超1个百分点扣2分。</w:t>
      </w:r>
    </w:p>
    <w:p w14:paraId="08C08644">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二、试剂管理与更换（20分）</w:t>
      </w:r>
    </w:p>
    <w:p w14:paraId="0E9D007F">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1.按设备需求和试剂有效期制定合理更换计划，无计划扣5分，计划未落地每次扣3分。</w:t>
      </w:r>
    </w:p>
    <w:p w14:paraId="3A4E2D02">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2.试剂采购、运输符合质量标准，使用不合格试剂，发现1次扣10分；试剂更换不及时影响设备监测，每次扣5分。</w:t>
      </w:r>
    </w:p>
    <w:p w14:paraId="4A86B463">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3.废弃试剂按环保和安全标准合规处理，未合规处理每次扣6分；试剂更换记录不完整，缺1次记录扣2分。</w:t>
      </w:r>
    </w:p>
    <w:p w14:paraId="1D550A45">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三、软件系统维护与安全配合（20分）</w:t>
      </w:r>
    </w:p>
    <w:p w14:paraId="088B5B35">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1.保障平台数据采集、传输、存储功能正常，出现功能故障未及时修复，每次扣5分；故障导致数据中断超24小时，每次扣8分。</w:t>
      </w:r>
    </w:p>
    <w:p w14:paraId="2DD6BAD3">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2.积极配合采购方开展系统漏洞排查、安全加固等工作，配合不积极每次扣4分；未按要求完成补丁更新，每次扣3分。</w:t>
      </w:r>
    </w:p>
    <w:p w14:paraId="16F2B039">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3.协助完成安全检查和应急响应，未及时响应或协助不到位，每次扣5分；因维护不当导致系统数据泄露，此项不得分并追究相关责任。</w:t>
      </w:r>
    </w:p>
    <w:p w14:paraId="7DEAADF0">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四、应急响应与技术支持（20分）</w:t>
      </w:r>
    </w:p>
    <w:p w14:paraId="66E4206A">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1.提供7×24小时技术支持，未保障服务时长此项不得分；技术咨询响应超时（1小时内），每次扣2分。</w:t>
      </w:r>
    </w:p>
    <w:p w14:paraId="0F925C6B">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2.设备/系统故障按要求及时响应并出具解决方案，响应超时（2小时内）每次扣3分；无合理解决方案，每次扣4分。</w:t>
      </w:r>
    </w:p>
    <w:p w14:paraId="2CA66FA7">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3.必要时安排技术人员现场处理，未及时到场（市区内8小时、市域内24小时）每次扣5分；现场故障未在约定时间内排除，每次扣6分。</w:t>
      </w:r>
    </w:p>
    <w:p w14:paraId="1A6D0FCC">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五、人员资质与服务配合（10分）</w:t>
      </w:r>
    </w:p>
    <w:p w14:paraId="489E7BF5">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1.配备的技术人员具备相关设备维护经验，无对应资质或经验，每人次扣3分；技术人员操作不熟练影响服务，每次扣2分。</w:t>
      </w:r>
    </w:p>
    <w:p w14:paraId="03B433A7">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2.积极配合采购方的履约检查、工作沟通等要求，配合不积极、推诿工作，每次扣3分；未按采购方要求完善服务问题，每次扣2分。</w:t>
      </w:r>
    </w:p>
    <w:p w14:paraId="43A73973">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3.按时提交服务过程中的各类资料、报表，迟交每次扣1分，拒交每次扣3分。</w:t>
      </w:r>
    </w:p>
    <w:p w14:paraId="7A0BC508">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七、考核结果应用</w:t>
      </w:r>
    </w:p>
    <w:p w14:paraId="26CAAEFB">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1.年度考核合格，采购人按合同约定续签下一年度运维合同；考核不合格，采购人有权终止当期合同，不予续签，并视情况追究供应商违约责任。</w:t>
      </w:r>
    </w:p>
    <w:p w14:paraId="2719F604">
      <w:pPr>
        <w:spacing w:line="48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2.考核过程中，供应商单次扣分项达10分及以上的，采购人有权要求供应商限期整改；整改不到位的，按合同约定扣除相应服务费用。</w:t>
      </w:r>
    </w:p>
    <w:p w14:paraId="001D46F1">
      <w:pPr>
        <w:spacing w:line="48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3.服务期内累计两次考核不合格的，采购人立即终止合同，取消供应商后续参与本项目相关采购活动的资格。</w:t>
      </w:r>
    </w:p>
    <w:p w14:paraId="2F27A656">
      <w:pPr>
        <w:spacing w:line="360" w:lineRule="auto"/>
        <w:ind w:firstLine="435"/>
        <w:rPr>
          <w:rFonts w:hint="eastAsia" w:ascii="宋体" w:hAnsi="宋体" w:eastAsia="宋体" w:cs="宋体"/>
          <w:color w:val="auto"/>
          <w:sz w:val="24"/>
          <w:highlight w:val="none"/>
        </w:rPr>
      </w:pPr>
    </w:p>
    <w:p w14:paraId="2E513899">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p>
    <w:p w14:paraId="6E4735E6">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E7ECF36">
      <w:pPr>
        <w:numPr>
          <w:ilvl w:val="0"/>
          <w:numId w:val="0"/>
        </w:numPr>
        <w:ind w:leftChars="0"/>
        <w:jc w:val="center"/>
        <w:rPr>
          <w:rFonts w:hint="eastAsia" w:ascii="宋体" w:hAnsi="宋体" w:eastAsia="宋体" w:cs="宋体"/>
          <w:b/>
          <w:color w:val="auto"/>
          <w:sz w:val="28"/>
          <w:highlight w:val="none"/>
        </w:rPr>
      </w:pPr>
      <w:bookmarkStart w:id="16" w:name="_Toc3538"/>
      <w:bookmarkStart w:id="17" w:name="_Toc4682"/>
      <w:r>
        <w:rPr>
          <w:rFonts w:hint="eastAsia" w:ascii="宋体" w:hAnsi="宋体" w:eastAsia="宋体" w:cs="宋体"/>
          <w:b/>
          <w:color w:val="auto"/>
          <w:sz w:val="28"/>
          <w:highlight w:val="none"/>
          <w:lang w:val="en-US" w:eastAsia="zh-CN"/>
        </w:rPr>
        <w:t>第四章</w:t>
      </w:r>
      <w:r>
        <w:rPr>
          <w:rFonts w:hint="eastAsia" w:ascii="宋体" w:hAnsi="宋体" w:eastAsia="宋体" w:cs="宋体"/>
          <w:b/>
          <w:color w:val="auto"/>
          <w:sz w:val="28"/>
          <w:highlight w:val="none"/>
        </w:rPr>
        <w:t xml:space="preserve"> 评标方法和标准（最低评标价法）</w:t>
      </w:r>
      <w:bookmarkEnd w:id="16"/>
    </w:p>
    <w:p w14:paraId="079CE36A">
      <w:pPr>
        <w:spacing w:line="360" w:lineRule="auto"/>
        <w:ind w:firstLine="437"/>
        <w:outlineLvl w:val="1"/>
        <w:rPr>
          <w:rFonts w:hint="eastAsia" w:ascii="宋体" w:hAnsi="宋体" w:eastAsia="宋体" w:cs="宋体"/>
          <w:b/>
          <w:color w:val="auto"/>
          <w:sz w:val="24"/>
          <w:highlight w:val="none"/>
        </w:rPr>
      </w:pPr>
      <w:bookmarkStart w:id="18" w:name="_Toc10401"/>
      <w:bookmarkStart w:id="19" w:name="_Toc6560"/>
      <w:r>
        <w:rPr>
          <w:rFonts w:hint="eastAsia" w:ascii="宋体" w:hAnsi="宋体" w:eastAsia="宋体" w:cs="宋体"/>
          <w:b/>
          <w:color w:val="auto"/>
          <w:sz w:val="24"/>
          <w:highlight w:val="none"/>
        </w:rPr>
        <w:t>一、总则</w:t>
      </w:r>
      <w:bookmarkEnd w:id="18"/>
      <w:bookmarkEnd w:id="19"/>
    </w:p>
    <w:p w14:paraId="48901C5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本项目将按照招标文件第二章投标人须知的相关要求及本章的规定评标。</w:t>
      </w:r>
    </w:p>
    <w:p w14:paraId="796B9B2C">
      <w:pPr>
        <w:spacing w:line="360" w:lineRule="auto"/>
        <w:ind w:firstLine="437"/>
        <w:outlineLvl w:val="1"/>
        <w:rPr>
          <w:rFonts w:hint="eastAsia" w:ascii="宋体" w:hAnsi="宋体" w:eastAsia="宋体" w:cs="宋体"/>
          <w:b/>
          <w:color w:val="auto"/>
          <w:sz w:val="24"/>
          <w:highlight w:val="none"/>
        </w:rPr>
      </w:pPr>
      <w:bookmarkStart w:id="20" w:name="_Toc28533"/>
      <w:bookmarkStart w:id="21" w:name="_Toc17743"/>
      <w:r>
        <w:rPr>
          <w:rFonts w:hint="eastAsia" w:ascii="宋体" w:hAnsi="宋体" w:eastAsia="宋体" w:cs="宋体"/>
          <w:b/>
          <w:color w:val="auto"/>
          <w:sz w:val="24"/>
          <w:highlight w:val="none"/>
        </w:rPr>
        <w:t>二、评标方法</w:t>
      </w:r>
      <w:bookmarkEnd w:id="20"/>
      <w:bookmarkEnd w:id="21"/>
    </w:p>
    <w:p w14:paraId="1B37B07D">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4"/>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927"/>
        <w:gridCol w:w="5323"/>
        <w:gridCol w:w="2221"/>
      </w:tblGrid>
      <w:tr w14:paraId="73C0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AED327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3A47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32CBC2E2">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941" w:type="pct"/>
            <w:tcBorders>
              <w:bottom w:val="single" w:color="auto" w:sz="4" w:space="0"/>
            </w:tcBorders>
            <w:vAlign w:val="center"/>
          </w:tcPr>
          <w:p w14:paraId="21CB90BF">
            <w:pPr>
              <w:pStyle w:val="33"/>
              <w:pBdr>
                <w:bottom w:val="none" w:color="auto" w:sz="0" w:space="0"/>
              </w:pBdr>
              <w:tabs>
                <w:tab w:val="clear" w:pos="4153"/>
                <w:tab w:val="clear" w:pos="8306"/>
              </w:tabs>
              <w:snapToGrid w:val="0"/>
              <w:spacing w:line="360" w:lineRule="auto"/>
              <w:ind w:right="-10" w:rightChars="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审查指标</w:t>
            </w:r>
          </w:p>
        </w:tc>
        <w:tc>
          <w:tcPr>
            <w:tcW w:w="2599" w:type="pct"/>
            <w:tcBorders>
              <w:bottom w:val="single" w:color="auto" w:sz="4" w:space="0"/>
            </w:tcBorders>
            <w:vAlign w:val="center"/>
          </w:tcPr>
          <w:p w14:paraId="120F2507">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审查标准</w:t>
            </w:r>
          </w:p>
        </w:tc>
        <w:tc>
          <w:tcPr>
            <w:tcW w:w="1081" w:type="pct"/>
            <w:tcBorders>
              <w:bottom w:val="single" w:color="auto" w:sz="4" w:space="0"/>
            </w:tcBorders>
            <w:vAlign w:val="center"/>
          </w:tcPr>
          <w:p w14:paraId="3DF8AA72">
            <w:pPr>
              <w:adjustRightInd w:val="0"/>
              <w:snapToGrid w:val="0"/>
              <w:spacing w:line="360" w:lineRule="auto"/>
              <w:ind w:right="-1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749F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6" w:type="pct"/>
            <w:tcBorders>
              <w:bottom w:val="single" w:color="auto" w:sz="4" w:space="0"/>
            </w:tcBorders>
            <w:vAlign w:val="center"/>
          </w:tcPr>
          <w:p w14:paraId="76F3161C">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1</w:t>
            </w:r>
          </w:p>
        </w:tc>
        <w:tc>
          <w:tcPr>
            <w:tcW w:w="941" w:type="pct"/>
            <w:tcBorders>
              <w:bottom w:val="single" w:color="auto" w:sz="4" w:space="0"/>
            </w:tcBorders>
            <w:vAlign w:val="center"/>
          </w:tcPr>
          <w:p w14:paraId="131783BA">
            <w:pPr>
              <w:spacing w:after="50" w:line="360" w:lineRule="auto"/>
              <w:ind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spacing w:val="9"/>
                <w:sz w:val="24"/>
                <w:szCs w:val="24"/>
                <w:highlight w:val="none"/>
              </w:rPr>
              <w:t>营业执照等证明</w:t>
            </w:r>
            <w:r>
              <w:rPr>
                <w:rFonts w:hint="eastAsia" w:ascii="宋体" w:hAnsi="宋体" w:eastAsia="宋体" w:cs="宋体"/>
                <w:color w:val="auto"/>
                <w:spacing w:val="-3"/>
                <w:sz w:val="24"/>
                <w:szCs w:val="24"/>
                <w:highlight w:val="none"/>
              </w:rPr>
              <w:t>文件</w:t>
            </w:r>
          </w:p>
        </w:tc>
        <w:tc>
          <w:tcPr>
            <w:tcW w:w="2599" w:type="pct"/>
            <w:tcBorders>
              <w:bottom w:val="single" w:color="auto" w:sz="4" w:space="0"/>
            </w:tcBorders>
            <w:vAlign w:val="center"/>
          </w:tcPr>
          <w:p w14:paraId="7A7397D8">
            <w:pPr>
              <w:spacing w:after="50" w:line="36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供有效的营业执照；</w:t>
            </w:r>
          </w:p>
          <w:p w14:paraId="3733FC75">
            <w:pPr>
              <w:spacing w:after="50" w:line="36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供有效的事业单位法人证书；</w:t>
            </w:r>
          </w:p>
          <w:p w14:paraId="6C13A953">
            <w:pPr>
              <w:spacing w:after="50" w:line="36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登记证书等证明文件；</w:t>
            </w:r>
          </w:p>
          <w:p w14:paraId="1FB91E83">
            <w:pPr>
              <w:spacing w:after="50" w:line="360" w:lineRule="auto"/>
              <w:ind w:right="-1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供有效的个体工商户营业执照；</w:t>
            </w:r>
          </w:p>
          <w:p w14:paraId="03472AD4">
            <w:pPr>
              <w:spacing w:after="50" w:line="360" w:lineRule="auto"/>
              <w:ind w:right="-10"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lang w:eastAsia="zh-CN"/>
              </w:rPr>
              <w:t>；</w:t>
            </w:r>
          </w:p>
        </w:tc>
        <w:tc>
          <w:tcPr>
            <w:tcW w:w="1081" w:type="pct"/>
            <w:vAlign w:val="center"/>
          </w:tcPr>
          <w:p w14:paraId="764CF86F">
            <w:pPr>
              <w:spacing w:line="360" w:lineRule="auto"/>
              <w:jc w:val="left"/>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2E0B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6" w:type="pct"/>
            <w:tcBorders>
              <w:bottom w:val="single" w:color="auto" w:sz="4" w:space="0"/>
            </w:tcBorders>
            <w:vAlign w:val="center"/>
          </w:tcPr>
          <w:p w14:paraId="36D28044">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941" w:type="pct"/>
            <w:tcBorders>
              <w:bottom w:val="single" w:color="auto" w:sz="4" w:space="0"/>
            </w:tcBorders>
            <w:vAlign w:val="center"/>
          </w:tcPr>
          <w:p w14:paraId="2644B0F4">
            <w:pPr>
              <w:spacing w:after="50" w:line="360" w:lineRule="auto"/>
              <w:ind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599" w:type="pct"/>
            <w:tcBorders>
              <w:bottom w:val="single" w:color="auto" w:sz="4" w:space="0"/>
            </w:tcBorders>
            <w:vAlign w:val="center"/>
          </w:tcPr>
          <w:p w14:paraId="2DE36D60">
            <w:pPr>
              <w:spacing w:after="50" w:line="360" w:lineRule="auto"/>
              <w:ind w:right="-10" w:rightChars="0"/>
              <w:jc w:val="left"/>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81" w:type="pct"/>
            <w:vAlign w:val="center"/>
          </w:tcPr>
          <w:p w14:paraId="6C73FBA9">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48C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64E5A603">
            <w:pPr>
              <w:adjustRightInd w:val="0"/>
              <w:snapToGrid w:val="0"/>
              <w:spacing w:line="360" w:lineRule="auto"/>
              <w:ind w:right="-1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941" w:type="pct"/>
            <w:tcBorders>
              <w:bottom w:val="single" w:color="auto" w:sz="4" w:space="0"/>
            </w:tcBorders>
            <w:vAlign w:val="center"/>
          </w:tcPr>
          <w:p w14:paraId="7C8E227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9" w:type="pct"/>
            <w:tcBorders>
              <w:bottom w:val="single" w:color="auto" w:sz="4" w:space="0"/>
            </w:tcBorders>
            <w:vAlign w:val="center"/>
          </w:tcPr>
          <w:p w14:paraId="76315707">
            <w:pPr>
              <w:spacing w:after="50" w:line="360" w:lineRule="auto"/>
              <w:ind w:right="-10" w:rightChars="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81" w:type="pct"/>
            <w:tcBorders>
              <w:bottom w:val="single" w:color="auto" w:sz="4" w:space="0"/>
            </w:tcBorders>
            <w:vAlign w:val="center"/>
          </w:tcPr>
          <w:p w14:paraId="3B797CE4">
            <w:pPr>
              <w:spacing w:line="360" w:lineRule="auto"/>
              <w:jc w:val="left"/>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sz w:val="24"/>
                <w:szCs w:val="24"/>
                <w:highlight w:val="none"/>
                <w:lang w:val="en-US" w:eastAsia="zh-CN"/>
              </w:rPr>
              <w:t>自行查询或承诺</w:t>
            </w:r>
          </w:p>
        </w:tc>
      </w:tr>
      <w:tr w14:paraId="2E54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bottom w:val="single" w:color="auto" w:sz="4" w:space="0"/>
            </w:tcBorders>
            <w:vAlign w:val="center"/>
          </w:tcPr>
          <w:p w14:paraId="21FDDA45">
            <w:pPr>
              <w:adjustRightInd w:val="0"/>
              <w:snapToGrid w:val="0"/>
              <w:spacing w:line="360" w:lineRule="auto"/>
              <w:ind w:right="-1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941" w:type="pct"/>
            <w:tcBorders>
              <w:bottom w:val="single" w:color="auto" w:sz="4" w:space="0"/>
            </w:tcBorders>
            <w:vAlign w:val="center"/>
          </w:tcPr>
          <w:p w14:paraId="0990B5E9">
            <w:pPr>
              <w:spacing w:after="50" w:line="360" w:lineRule="auto"/>
              <w:ind w:right="-10"/>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其它落实政府采</w:t>
            </w:r>
            <w:r>
              <w:rPr>
                <w:rFonts w:hint="eastAsia" w:ascii="宋体" w:hAnsi="宋体" w:eastAsia="宋体" w:cs="宋体"/>
                <w:color w:val="auto"/>
                <w:spacing w:val="11"/>
                <w:sz w:val="24"/>
                <w:szCs w:val="24"/>
                <w:highlight w:val="none"/>
              </w:rPr>
              <w:t>购政策的资格要</w:t>
            </w:r>
            <w:r>
              <w:rPr>
                <w:rFonts w:hint="eastAsia" w:ascii="宋体" w:hAnsi="宋体" w:eastAsia="宋体" w:cs="宋体"/>
                <w:color w:val="auto"/>
                <w:sz w:val="24"/>
                <w:szCs w:val="24"/>
                <w:highlight w:val="none"/>
              </w:rPr>
              <w:t>求</w:t>
            </w:r>
          </w:p>
        </w:tc>
        <w:tc>
          <w:tcPr>
            <w:tcW w:w="2599" w:type="pct"/>
            <w:tcBorders>
              <w:bottom w:val="single" w:color="auto" w:sz="4" w:space="0"/>
            </w:tcBorders>
            <w:vAlign w:val="center"/>
          </w:tcPr>
          <w:p w14:paraId="110F5924">
            <w:pPr>
              <w:spacing w:after="50" w:line="360" w:lineRule="auto"/>
              <w:ind w:right="-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如有，见第一章《投标邀请》</w:t>
            </w:r>
          </w:p>
        </w:tc>
        <w:tc>
          <w:tcPr>
            <w:tcW w:w="1081" w:type="pct"/>
            <w:tcBorders>
              <w:bottom w:val="single" w:color="auto" w:sz="4" w:space="0"/>
            </w:tcBorders>
            <w:vAlign w:val="center"/>
          </w:tcPr>
          <w:p w14:paraId="3BA6D192">
            <w:pPr>
              <w:spacing w:after="50" w:line="360" w:lineRule="auto"/>
              <w:ind w:right="-10"/>
              <w:jc w:val="both"/>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42BF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3E279ADF">
            <w:pPr>
              <w:adjustRightInd w:val="0"/>
              <w:snapToGrid w:val="0"/>
              <w:spacing w:line="360" w:lineRule="auto"/>
              <w:ind w:right="-10" w:rightChars="0"/>
              <w:jc w:val="center"/>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kern w:val="2"/>
                <w:sz w:val="24"/>
                <w:highlight w:val="none"/>
                <w:lang w:val="en-US" w:eastAsia="zh-CN" w:bidi="ar-SA"/>
              </w:rPr>
              <w:t>6</w:t>
            </w:r>
          </w:p>
        </w:tc>
        <w:tc>
          <w:tcPr>
            <w:tcW w:w="941" w:type="pct"/>
            <w:vAlign w:val="center"/>
          </w:tcPr>
          <w:p w14:paraId="7247A7C4">
            <w:pPr>
              <w:spacing w:after="50" w:line="360" w:lineRule="auto"/>
              <w:ind w:right="-10"/>
              <w:jc w:val="both"/>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rPr>
              <w:t>其他特定资格要求</w:t>
            </w:r>
          </w:p>
        </w:tc>
        <w:tc>
          <w:tcPr>
            <w:tcW w:w="2599" w:type="pct"/>
            <w:vAlign w:val="center"/>
          </w:tcPr>
          <w:p w14:paraId="331407C4">
            <w:pPr>
              <w:spacing w:after="50" w:line="360" w:lineRule="auto"/>
              <w:ind w:right="-10"/>
              <w:jc w:val="both"/>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如有，见第一章《投标邀请》</w:t>
            </w:r>
          </w:p>
        </w:tc>
        <w:tc>
          <w:tcPr>
            <w:tcW w:w="1081" w:type="pct"/>
            <w:vAlign w:val="center"/>
          </w:tcPr>
          <w:p w14:paraId="2E70B3EE">
            <w:pPr>
              <w:spacing w:after="50" w:line="360" w:lineRule="auto"/>
              <w:ind w:right="-10"/>
              <w:jc w:val="both"/>
              <w:rPr>
                <w:rFonts w:hint="eastAsia" w:ascii="宋体" w:hAnsi="宋体" w:eastAsia="宋体" w:cs="宋体"/>
                <w:color w:val="auto"/>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B85BDFF">
      <w:pPr>
        <w:spacing w:line="360" w:lineRule="auto"/>
        <w:ind w:firstLine="435"/>
        <w:rPr>
          <w:rFonts w:hint="eastAsia" w:ascii="宋体" w:hAnsi="宋体" w:eastAsia="宋体" w:cs="宋体"/>
          <w:color w:val="auto"/>
          <w:sz w:val="24"/>
          <w:highlight w:val="none"/>
        </w:rPr>
      </w:pPr>
      <w:bookmarkStart w:id="22" w:name="_Hlk16461707"/>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bookmarkEnd w:id="22"/>
    <w:p w14:paraId="06198EE0">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79DE64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475"/>
        <w:gridCol w:w="3656"/>
        <w:gridCol w:w="2935"/>
      </w:tblGrid>
      <w:tr w14:paraId="469F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CC91E71">
            <w:pPr>
              <w:adjustRightInd w:val="0"/>
              <w:snapToGrid w:val="0"/>
              <w:spacing w:line="360" w:lineRule="auto"/>
              <w:ind w:right="-1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1C80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50" w:type="pct"/>
            <w:tcBorders>
              <w:bottom w:val="single" w:color="auto" w:sz="4" w:space="0"/>
            </w:tcBorders>
            <w:vAlign w:val="center"/>
          </w:tcPr>
          <w:p w14:paraId="3B13A0A8">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2" w:type="pct"/>
            <w:tcBorders>
              <w:bottom w:val="single" w:color="auto" w:sz="4" w:space="0"/>
            </w:tcBorders>
            <w:vAlign w:val="center"/>
          </w:tcPr>
          <w:p w14:paraId="53EC329D">
            <w:pPr>
              <w:pStyle w:val="33"/>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5546902E">
            <w:pPr>
              <w:adjustRightInd w:val="0"/>
              <w:snapToGrid w:val="0"/>
              <w:spacing w:line="360" w:lineRule="auto"/>
              <w:ind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2" w:type="pct"/>
            <w:tcBorders>
              <w:bottom w:val="single" w:color="auto" w:sz="4" w:space="0"/>
            </w:tcBorders>
            <w:vAlign w:val="center"/>
          </w:tcPr>
          <w:p w14:paraId="198716C6">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7AF7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0499A1D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2" w:type="pct"/>
            <w:vAlign w:val="center"/>
          </w:tcPr>
          <w:p w14:paraId="0B16228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49E19E14">
            <w:pPr>
              <w:spacing w:after="50" w:line="360" w:lineRule="auto"/>
              <w:ind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2" w:type="pct"/>
            <w:vAlign w:val="center"/>
          </w:tcPr>
          <w:p w14:paraId="2A70E83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3F66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7FA806D5">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2" w:type="pct"/>
            <w:vAlign w:val="center"/>
          </w:tcPr>
          <w:p w14:paraId="56BB1444">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3D66730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2" w:type="pct"/>
            <w:vAlign w:val="center"/>
          </w:tcPr>
          <w:p w14:paraId="67490637">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E5E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4842ACEA">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2" w:type="pct"/>
            <w:vAlign w:val="center"/>
          </w:tcPr>
          <w:p w14:paraId="07C19EB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7CF38B3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val="en-US" w:eastAsia="zh-CN"/>
              </w:rPr>
              <w:t>公章</w:t>
            </w:r>
          </w:p>
        </w:tc>
        <w:tc>
          <w:tcPr>
            <w:tcW w:w="1472" w:type="pct"/>
            <w:vAlign w:val="center"/>
          </w:tcPr>
          <w:p w14:paraId="075E1724">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0E29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1D1769A9">
            <w:pPr>
              <w:adjustRightInd w:val="0"/>
              <w:snapToGrid w:val="0"/>
              <w:spacing w:line="360" w:lineRule="auto"/>
              <w:ind w:right="-1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2" w:type="pct"/>
            <w:vAlign w:val="center"/>
          </w:tcPr>
          <w:p w14:paraId="74D29C3D">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32CE8F2C">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2" w:type="pct"/>
            <w:vAlign w:val="center"/>
          </w:tcPr>
          <w:p w14:paraId="127B76C0">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014C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33FA3436">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2" w:type="pct"/>
            <w:vAlign w:val="center"/>
          </w:tcPr>
          <w:p w14:paraId="5A837F10">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5613D4FA">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地点、</w:t>
            </w:r>
            <w:r>
              <w:rPr>
                <w:rFonts w:hint="eastAsia" w:ascii="宋体" w:hAnsi="宋体" w:eastAsia="宋体" w:cs="宋体"/>
                <w:color w:val="auto"/>
                <w:sz w:val="24"/>
                <w:szCs w:val="28"/>
                <w:highlight w:val="none"/>
                <w:lang w:val="en-US" w:eastAsia="zh-CN"/>
              </w:rPr>
              <w:t>服务</w:t>
            </w:r>
            <w:r>
              <w:rPr>
                <w:rFonts w:hint="eastAsia" w:ascii="宋体" w:hAnsi="宋体" w:eastAsia="宋体" w:cs="宋体"/>
                <w:color w:val="auto"/>
                <w:sz w:val="24"/>
                <w:szCs w:val="28"/>
                <w:highlight w:val="none"/>
              </w:rPr>
              <w:t>期限</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2" w:type="pct"/>
            <w:vAlign w:val="center"/>
          </w:tcPr>
          <w:p w14:paraId="16E695A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0244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A8BD425">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2321" w:type="dxa"/>
            <w:vAlign w:val="center"/>
          </w:tcPr>
          <w:p w14:paraId="31314EAD">
            <w:pPr>
              <w:spacing w:line="360" w:lineRule="auto"/>
              <w:ind w:firstLine="240" w:firstLineChars="100"/>
              <w:outlineLvl w:val="2"/>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技术</w:t>
            </w:r>
            <w:r>
              <w:rPr>
                <w:rFonts w:hint="eastAsia" w:ascii="宋体" w:hAnsi="宋体" w:eastAsia="宋体" w:cs="宋体"/>
                <w:color w:val="auto"/>
                <w:sz w:val="24"/>
                <w:szCs w:val="28"/>
                <w:highlight w:val="none"/>
              </w:rPr>
              <w:t>响应情况</w:t>
            </w:r>
          </w:p>
        </w:tc>
        <w:tc>
          <w:tcPr>
            <w:tcW w:w="3430" w:type="dxa"/>
            <w:vAlign w:val="center"/>
          </w:tcPr>
          <w:p w14:paraId="52501C1E">
            <w:pPr>
              <w:spacing w:after="50" w:line="360" w:lineRule="auto"/>
              <w:ind w:right="-10" w:rightChars="0"/>
              <w:jc w:val="center"/>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2" w:type="pct"/>
            <w:vAlign w:val="center"/>
          </w:tcPr>
          <w:p w14:paraId="45F1BF72">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29A3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vAlign w:val="center"/>
          </w:tcPr>
          <w:p w14:paraId="65F7DACC">
            <w:pPr>
              <w:adjustRightInd w:val="0"/>
              <w:snapToGrid w:val="0"/>
              <w:spacing w:line="360" w:lineRule="auto"/>
              <w:ind w:right="-1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242" w:type="pct"/>
            <w:vAlign w:val="center"/>
          </w:tcPr>
          <w:p w14:paraId="60234B12">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2F3E51AE">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w:t>
            </w:r>
            <w:r>
              <w:rPr>
                <w:rFonts w:hint="eastAsia" w:ascii="宋体" w:hAnsi="宋体" w:eastAsia="宋体" w:cs="宋体"/>
                <w:color w:val="auto"/>
                <w:sz w:val="24"/>
                <w:szCs w:val="28"/>
                <w:highlight w:val="none"/>
              </w:rPr>
              <w:t>要求</w:t>
            </w:r>
          </w:p>
        </w:tc>
        <w:tc>
          <w:tcPr>
            <w:tcW w:w="1472" w:type="pct"/>
            <w:vAlign w:val="center"/>
          </w:tcPr>
          <w:p w14:paraId="19E73918">
            <w:pPr>
              <w:adjustRightInd w:val="0"/>
              <w:snapToGrid w:val="0"/>
              <w:spacing w:line="360" w:lineRule="auto"/>
              <w:ind w:right="-10"/>
              <w:jc w:val="center"/>
              <w:rPr>
                <w:rFonts w:hint="eastAsia" w:ascii="宋体" w:hAnsi="宋体" w:eastAsia="宋体" w:cs="宋体"/>
                <w:color w:val="auto"/>
                <w:sz w:val="24"/>
                <w:highlight w:val="none"/>
              </w:rPr>
            </w:pPr>
          </w:p>
        </w:tc>
      </w:tr>
    </w:tbl>
    <w:p w14:paraId="475E12FA">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667414C6">
      <w:pPr>
        <w:spacing w:line="360" w:lineRule="auto"/>
        <w:jc w:val="center"/>
        <w:outlineLvl w:val="0"/>
        <w:rPr>
          <w:rFonts w:hint="eastAsia" w:ascii="宋体" w:hAnsi="宋体" w:eastAsia="宋体" w:cs="宋体"/>
          <w:b/>
          <w:color w:val="auto"/>
          <w:sz w:val="28"/>
          <w:highlight w:val="none"/>
        </w:rPr>
      </w:pPr>
    </w:p>
    <w:p w14:paraId="25F76BB0">
      <w:pPr>
        <w:spacing w:line="360" w:lineRule="auto"/>
        <w:jc w:val="center"/>
        <w:outlineLvl w:val="0"/>
        <w:rPr>
          <w:rFonts w:hint="eastAsia" w:ascii="宋体" w:hAnsi="宋体" w:eastAsia="宋体" w:cs="宋体"/>
          <w:b/>
          <w:color w:val="auto"/>
          <w:sz w:val="28"/>
          <w:highlight w:val="none"/>
        </w:rPr>
      </w:pPr>
    </w:p>
    <w:p w14:paraId="485ABE43">
      <w:pPr>
        <w:spacing w:line="360" w:lineRule="auto"/>
        <w:jc w:val="center"/>
        <w:outlineLvl w:val="0"/>
        <w:rPr>
          <w:rFonts w:hint="eastAsia" w:ascii="宋体" w:hAnsi="宋体" w:eastAsia="宋体" w:cs="宋体"/>
          <w:b/>
          <w:color w:val="auto"/>
          <w:sz w:val="28"/>
          <w:highlight w:val="none"/>
        </w:rPr>
      </w:pPr>
    </w:p>
    <w:p w14:paraId="70C33A7F">
      <w:pPr>
        <w:spacing w:line="360" w:lineRule="auto"/>
        <w:jc w:val="center"/>
        <w:outlineLvl w:val="0"/>
        <w:rPr>
          <w:rFonts w:hint="eastAsia" w:ascii="宋体" w:hAnsi="宋体" w:eastAsia="宋体" w:cs="宋体"/>
          <w:b/>
          <w:color w:val="auto"/>
          <w:sz w:val="28"/>
          <w:highlight w:val="none"/>
        </w:rPr>
      </w:pPr>
    </w:p>
    <w:p w14:paraId="6C3D2D25">
      <w:pPr>
        <w:widowControl/>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28"/>
          <w:highlight w:val="none"/>
        </w:rPr>
        <w:t xml:space="preserve">第五章  </w:t>
      </w:r>
      <w:bookmarkEnd w:id="17"/>
      <w:bookmarkStart w:id="23" w:name="_Toc20313"/>
      <w:r>
        <w:rPr>
          <w:rFonts w:hint="eastAsia" w:ascii="宋体" w:hAnsi="宋体" w:eastAsia="宋体" w:cs="宋体"/>
          <w:b/>
          <w:color w:val="auto"/>
          <w:sz w:val="32"/>
          <w:szCs w:val="32"/>
          <w:highlight w:val="none"/>
        </w:rPr>
        <w:t>合同条款及格式参考范本（服务类）</w:t>
      </w:r>
    </w:p>
    <w:p w14:paraId="58C59512">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bookmarkStart w:id="24" w:name="_Toc58430330"/>
    </w:p>
    <w:p w14:paraId="605BD4F3">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p>
    <w:p w14:paraId="278300AF">
      <w:pPr>
        <w:pStyle w:val="23"/>
        <w:rPr>
          <w:rFonts w:hint="eastAsia" w:ascii="宋体" w:hAnsi="宋体" w:eastAsia="宋体" w:cs="宋体"/>
          <w:color w:val="auto"/>
          <w:highlight w:val="none"/>
        </w:rPr>
      </w:pPr>
    </w:p>
    <w:p w14:paraId="3CB6379B">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p>
    <w:p w14:paraId="09F27DEC">
      <w:pPr>
        <w:widowControl/>
        <w:spacing w:line="400" w:lineRule="exact"/>
        <w:ind w:left="360"/>
        <w:jc w:val="center"/>
        <w:textAlignment w:val="baseline"/>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一</w:t>
      </w:r>
      <w:bookmarkStart w:id="25" w:name="_Toc449028946"/>
      <w:r>
        <w:rPr>
          <w:rFonts w:hint="eastAsia" w:ascii="宋体" w:hAnsi="宋体" w:eastAsia="宋体" w:cs="宋体"/>
          <w:b/>
          <w:color w:val="auto"/>
          <w:sz w:val="30"/>
          <w:szCs w:val="30"/>
          <w:highlight w:val="none"/>
        </w:rPr>
        <w:t>、合同协议书（格式）</w:t>
      </w:r>
      <w:bookmarkEnd w:id="24"/>
      <w:bookmarkEnd w:id="25"/>
    </w:p>
    <w:p w14:paraId="3B6D2E65">
      <w:pPr>
        <w:spacing w:before="120" w:line="480" w:lineRule="auto"/>
        <w:ind w:left="960"/>
        <w:rPr>
          <w:rFonts w:hint="eastAsia" w:ascii="宋体" w:hAnsi="宋体" w:eastAsia="宋体" w:cs="宋体"/>
          <w:color w:val="auto"/>
          <w:sz w:val="24"/>
          <w:highlight w:val="none"/>
        </w:rPr>
      </w:pPr>
    </w:p>
    <w:p w14:paraId="7EAC99CB">
      <w:pPr>
        <w:spacing w:before="120" w:line="480" w:lineRule="auto"/>
        <w:ind w:left="960"/>
        <w:rPr>
          <w:rFonts w:hint="eastAsia" w:ascii="宋体" w:hAnsi="宋体" w:eastAsia="宋体" w:cs="宋体"/>
          <w:color w:val="auto"/>
          <w:sz w:val="24"/>
          <w:highlight w:val="none"/>
        </w:rPr>
      </w:pPr>
    </w:p>
    <w:p w14:paraId="11D4EDA3">
      <w:pPr>
        <w:spacing w:before="120" w:line="480" w:lineRule="auto"/>
        <w:ind w:left="960"/>
        <w:rPr>
          <w:rFonts w:hint="eastAsia" w:ascii="宋体" w:hAnsi="宋体" w:eastAsia="宋体" w:cs="宋体"/>
          <w:color w:val="auto"/>
          <w:sz w:val="24"/>
          <w:highlight w:val="none"/>
        </w:rPr>
      </w:pPr>
    </w:p>
    <w:p w14:paraId="7A49B826">
      <w:pPr>
        <w:spacing w:before="120" w:line="480" w:lineRule="auto"/>
        <w:ind w:left="960"/>
        <w:rPr>
          <w:rFonts w:hint="eastAsia" w:ascii="宋体" w:hAnsi="宋体" w:eastAsia="宋体" w:cs="宋体"/>
          <w:color w:val="auto"/>
          <w:sz w:val="24"/>
          <w:highlight w:val="none"/>
        </w:rPr>
      </w:pPr>
    </w:p>
    <w:p w14:paraId="424EC309">
      <w:pPr>
        <w:spacing w:before="120" w:line="480" w:lineRule="auto"/>
        <w:ind w:left="960"/>
        <w:rPr>
          <w:rFonts w:hint="eastAsia" w:ascii="宋体" w:hAnsi="宋体" w:eastAsia="宋体" w:cs="宋体"/>
          <w:color w:val="auto"/>
          <w:sz w:val="24"/>
          <w:highlight w:val="none"/>
        </w:rPr>
      </w:pPr>
    </w:p>
    <w:p w14:paraId="450A7A3D">
      <w:pPr>
        <w:spacing w:before="120" w:line="480" w:lineRule="auto"/>
        <w:ind w:left="96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14:paraId="6E90D58C">
      <w:pPr>
        <w:spacing w:before="120" w:line="480" w:lineRule="auto"/>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甲方（采购人）：</w:t>
      </w:r>
      <w:r>
        <w:rPr>
          <w:rFonts w:hint="eastAsia" w:ascii="宋体" w:hAnsi="宋体" w:eastAsia="宋体" w:cs="宋体"/>
          <w:color w:val="auto"/>
          <w:szCs w:val="21"/>
          <w:highlight w:val="none"/>
          <w:u w:val="single"/>
        </w:rPr>
        <w:t xml:space="preserve">                              </w:t>
      </w:r>
    </w:p>
    <w:p w14:paraId="6D4BAC73">
      <w:pPr>
        <w:spacing w:before="120" w:line="480" w:lineRule="auto"/>
        <w:ind w:left="9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乙方（中标人）：</w:t>
      </w:r>
      <w:r>
        <w:rPr>
          <w:rFonts w:hint="eastAsia" w:ascii="宋体" w:hAnsi="宋体" w:eastAsia="宋体" w:cs="宋体"/>
          <w:color w:val="auto"/>
          <w:szCs w:val="21"/>
          <w:highlight w:val="none"/>
          <w:u w:val="single"/>
        </w:rPr>
        <w:t xml:space="preserve">                              </w:t>
      </w:r>
    </w:p>
    <w:p w14:paraId="64C03DCD">
      <w:pPr>
        <w:spacing w:before="120" w:line="480" w:lineRule="auto"/>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签订地：</w:t>
      </w:r>
      <w:r>
        <w:rPr>
          <w:rFonts w:hint="eastAsia" w:ascii="宋体" w:hAnsi="宋体" w:eastAsia="宋体" w:cs="宋体"/>
          <w:color w:val="auto"/>
          <w:szCs w:val="21"/>
          <w:highlight w:val="none"/>
          <w:u w:val="single"/>
        </w:rPr>
        <w:t xml:space="preserve">                                     </w:t>
      </w:r>
    </w:p>
    <w:p w14:paraId="3AC37385">
      <w:pPr>
        <w:spacing w:before="120" w:line="480" w:lineRule="auto"/>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0428A6E">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26542CF">
      <w:pPr>
        <w:spacing w:line="360" w:lineRule="auto"/>
        <w:ind w:firstLine="435"/>
        <w:rPr>
          <w:rFonts w:hint="eastAsia" w:ascii="宋体" w:hAnsi="宋体" w:eastAsia="宋体" w:cs="宋体"/>
          <w:color w:val="auto"/>
          <w:szCs w:val="21"/>
          <w:highlight w:val="none"/>
        </w:rPr>
      </w:pPr>
      <w:r>
        <w:rPr>
          <w:rFonts w:hint="eastAsia" w:ascii="宋体" w:hAnsi="宋体" w:eastAsia="宋体" w:cs="宋体"/>
          <w:i/>
          <w:iCs/>
          <w:color w:val="auto"/>
          <w:szCs w:val="21"/>
          <w:highlight w:val="none"/>
          <w:u w:val="single"/>
        </w:rPr>
        <w:t>（采购人名称）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以下简称：甲方</w:t>
      </w:r>
      <w:r>
        <w:rPr>
          <w:rFonts w:hint="eastAsia" w:ascii="宋体" w:hAnsi="宋体" w:eastAsia="宋体" w:cs="宋体"/>
          <w:color w:val="auto"/>
          <w:szCs w:val="21"/>
          <w:highlight w:val="none"/>
        </w:rPr>
        <w:t>）通过公开招标，经评标委员会评定，确定</w:t>
      </w:r>
      <w:r>
        <w:rPr>
          <w:rFonts w:hint="eastAsia" w:ascii="宋体" w:hAnsi="宋体" w:eastAsia="宋体" w:cs="宋体"/>
          <w:i/>
          <w:iCs/>
          <w:color w:val="auto"/>
          <w:szCs w:val="21"/>
          <w:highlight w:val="none"/>
          <w:u w:val="single"/>
        </w:rPr>
        <w:t>（中标人名称）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以下简称：乙方</w:t>
      </w:r>
      <w:r>
        <w:rPr>
          <w:rFonts w:hint="eastAsia" w:ascii="宋体" w:hAnsi="宋体" w:eastAsia="宋体" w:cs="宋体"/>
          <w:color w:val="auto"/>
          <w:szCs w:val="21"/>
          <w:highlight w:val="none"/>
        </w:rPr>
        <w:t>）为本项目中标人，现按照采购文件确定的事项签订本合同。</w:t>
      </w:r>
    </w:p>
    <w:p w14:paraId="72E54ECF">
      <w:pPr>
        <w:spacing w:line="360" w:lineRule="auto"/>
        <w:ind w:firstLine="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A8C9AEF">
      <w:pPr>
        <w:spacing w:line="360" w:lineRule="auto"/>
        <w:ind w:firstLine="437"/>
        <w:outlineLvl w:val="3"/>
        <w:rPr>
          <w:rFonts w:hint="eastAsia" w:ascii="宋体" w:hAnsi="宋体" w:eastAsia="宋体" w:cs="宋体"/>
          <w:b/>
          <w:bCs/>
          <w:color w:val="auto"/>
          <w:szCs w:val="21"/>
          <w:highlight w:val="none"/>
          <w:lang w:val="zh-CN"/>
        </w:rPr>
      </w:pPr>
      <w:bookmarkStart w:id="26" w:name="_Toc2232"/>
      <w:bookmarkStart w:id="27" w:name="_Toc3029"/>
      <w:bookmarkStart w:id="28" w:name="_Toc24059"/>
      <w:r>
        <w:rPr>
          <w:rFonts w:hint="eastAsia" w:ascii="宋体" w:hAnsi="宋体" w:eastAsia="宋体" w:cs="宋体"/>
          <w:b/>
          <w:bCs/>
          <w:color w:val="auto"/>
          <w:szCs w:val="21"/>
          <w:highlight w:val="none"/>
          <w:lang w:val="zh-CN"/>
        </w:rPr>
        <w:t>1.1 合同组成部分</w:t>
      </w:r>
      <w:bookmarkEnd w:id="26"/>
      <w:bookmarkEnd w:id="27"/>
      <w:bookmarkEnd w:id="28"/>
    </w:p>
    <w:p w14:paraId="5F907B01">
      <w:pPr>
        <w:spacing w:line="360" w:lineRule="auto"/>
        <w:ind w:firstLine="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C12F517">
      <w:pPr>
        <w:spacing w:line="360" w:lineRule="auto"/>
        <w:ind w:firstLine="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1.1.1本合同及其补充合同、变更协议；</w:t>
      </w:r>
    </w:p>
    <w:p w14:paraId="283F242A">
      <w:pPr>
        <w:spacing w:line="360" w:lineRule="auto"/>
        <w:ind w:firstLine="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1.1.2中标通知书；</w:t>
      </w:r>
    </w:p>
    <w:p w14:paraId="5DACF385">
      <w:pPr>
        <w:spacing w:line="360" w:lineRule="auto"/>
        <w:ind w:firstLine="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1.1.3投标文件（含澄清或者说明文件）；</w:t>
      </w:r>
    </w:p>
    <w:p w14:paraId="6E094E83">
      <w:pPr>
        <w:spacing w:line="360" w:lineRule="auto"/>
        <w:ind w:firstLine="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1.1.4招标文件（含澄清或者修改文件）；</w:t>
      </w:r>
    </w:p>
    <w:p w14:paraId="70857106">
      <w:pPr>
        <w:spacing w:line="360" w:lineRule="auto"/>
        <w:ind w:firstLine="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1.1.5其他相关采购文件。</w:t>
      </w:r>
    </w:p>
    <w:p w14:paraId="6E52323F">
      <w:pPr>
        <w:spacing w:line="360" w:lineRule="auto"/>
        <w:ind w:firstLine="437"/>
        <w:outlineLvl w:val="3"/>
        <w:rPr>
          <w:rFonts w:hint="eastAsia" w:ascii="宋体" w:hAnsi="宋体" w:eastAsia="宋体" w:cs="宋体"/>
          <w:b/>
          <w:bCs/>
          <w:color w:val="auto"/>
          <w:szCs w:val="21"/>
          <w:highlight w:val="none"/>
          <w:lang w:val="zh-CN"/>
        </w:rPr>
      </w:pPr>
      <w:bookmarkStart w:id="29" w:name="_Toc18585"/>
      <w:bookmarkStart w:id="30" w:name="_Toc6773"/>
      <w:bookmarkStart w:id="31" w:name="_Toc2918"/>
      <w:bookmarkStart w:id="32" w:name="_Toc6311"/>
      <w:bookmarkStart w:id="33" w:name="_Toc22185"/>
      <w:r>
        <w:rPr>
          <w:rFonts w:hint="eastAsia" w:ascii="宋体" w:hAnsi="宋体" w:eastAsia="宋体" w:cs="宋体"/>
          <w:b/>
          <w:bCs/>
          <w:color w:val="auto"/>
          <w:szCs w:val="21"/>
          <w:highlight w:val="none"/>
          <w:lang w:val="zh-CN"/>
        </w:rPr>
        <w:t xml:space="preserve">1.2 </w:t>
      </w:r>
      <w:bookmarkEnd w:id="29"/>
      <w:bookmarkEnd w:id="30"/>
      <w:bookmarkEnd w:id="31"/>
      <w:bookmarkEnd w:id="32"/>
      <w:bookmarkEnd w:id="33"/>
      <w:r>
        <w:rPr>
          <w:rFonts w:hint="eastAsia" w:ascii="宋体" w:hAnsi="宋体" w:eastAsia="宋体" w:cs="宋体"/>
          <w:b/>
          <w:bCs/>
          <w:color w:val="auto"/>
          <w:szCs w:val="21"/>
          <w:highlight w:val="none"/>
          <w:lang w:val="zh-CN"/>
        </w:rPr>
        <w:t>服务</w:t>
      </w:r>
    </w:p>
    <w:p w14:paraId="6D150D10">
      <w:pPr>
        <w:spacing w:line="360" w:lineRule="auto"/>
        <w:ind w:firstLine="43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1.2.1服务名称：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47B40EB">
      <w:pPr>
        <w:spacing w:line="360" w:lineRule="auto"/>
        <w:ind w:firstLine="43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1.2.2服务内容：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7F6DE52">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1.2.3服务质量：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A57A4C0">
      <w:pPr>
        <w:spacing w:line="360" w:lineRule="auto"/>
        <w:ind w:firstLine="437"/>
        <w:outlineLvl w:val="3"/>
        <w:rPr>
          <w:rFonts w:hint="eastAsia" w:ascii="宋体" w:hAnsi="宋体" w:eastAsia="宋体" w:cs="宋体"/>
          <w:b/>
          <w:bCs/>
          <w:color w:val="auto"/>
          <w:szCs w:val="21"/>
          <w:highlight w:val="none"/>
          <w:lang w:val="zh-CN"/>
        </w:rPr>
      </w:pPr>
      <w:bookmarkStart w:id="34" w:name="_Toc21551"/>
      <w:bookmarkStart w:id="35" w:name="_Toc23292"/>
      <w:bookmarkStart w:id="36" w:name="_Toc21631"/>
      <w:r>
        <w:rPr>
          <w:rFonts w:hint="eastAsia" w:ascii="宋体" w:hAnsi="宋体" w:eastAsia="宋体" w:cs="宋体"/>
          <w:b/>
          <w:bCs/>
          <w:color w:val="auto"/>
          <w:szCs w:val="21"/>
          <w:highlight w:val="none"/>
          <w:lang w:val="zh-CN"/>
        </w:rPr>
        <w:t>1.3 价款</w:t>
      </w:r>
      <w:bookmarkEnd w:id="34"/>
      <w:bookmarkEnd w:id="35"/>
      <w:bookmarkEnd w:id="36"/>
    </w:p>
    <w:p w14:paraId="69652714">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本合同总价为：¥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14:paraId="6F0ABCDB">
      <w:pPr>
        <w:spacing w:line="360" w:lineRule="auto"/>
        <w:ind w:firstLine="43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分项价格：</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313"/>
        <w:gridCol w:w="12"/>
        <w:gridCol w:w="3229"/>
        <w:gridCol w:w="12"/>
      </w:tblGrid>
      <w:tr w14:paraId="24EE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center"/>
          </w:tcPr>
          <w:p w14:paraId="0304974D">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序号</w:t>
            </w:r>
          </w:p>
        </w:tc>
        <w:tc>
          <w:tcPr>
            <w:tcW w:w="4317" w:type="dxa"/>
            <w:noWrap w:val="0"/>
            <w:vAlign w:val="center"/>
          </w:tcPr>
          <w:p w14:paraId="4E9F49FF">
            <w:pPr>
              <w:ind w:firstLine="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分项名称</w:t>
            </w:r>
          </w:p>
        </w:tc>
        <w:tc>
          <w:tcPr>
            <w:tcW w:w="3237" w:type="dxa"/>
            <w:gridSpan w:val="2"/>
            <w:noWrap w:val="0"/>
            <w:vAlign w:val="center"/>
          </w:tcPr>
          <w:p w14:paraId="0029D1D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分项价格</w:t>
            </w:r>
          </w:p>
        </w:tc>
      </w:tr>
      <w:tr w14:paraId="1717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2C350C95">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p>
        </w:tc>
        <w:tc>
          <w:tcPr>
            <w:tcW w:w="4317" w:type="dxa"/>
            <w:noWrap w:val="0"/>
            <w:vAlign w:val="center"/>
          </w:tcPr>
          <w:p w14:paraId="0772C7DD">
            <w:pPr>
              <w:ind w:firstLine="200"/>
              <w:jc w:val="center"/>
              <w:rPr>
                <w:rFonts w:hint="eastAsia" w:ascii="宋体" w:hAnsi="宋体" w:eastAsia="宋体" w:cs="宋体"/>
                <w:color w:val="auto"/>
                <w:szCs w:val="21"/>
                <w:highlight w:val="none"/>
              </w:rPr>
            </w:pPr>
          </w:p>
        </w:tc>
        <w:tc>
          <w:tcPr>
            <w:tcW w:w="3237" w:type="dxa"/>
            <w:gridSpan w:val="2"/>
            <w:noWrap w:val="0"/>
            <w:vAlign w:val="center"/>
          </w:tcPr>
          <w:p w14:paraId="1CCBE176">
            <w:pPr>
              <w:ind w:firstLine="200"/>
              <w:jc w:val="center"/>
              <w:rPr>
                <w:rFonts w:hint="eastAsia" w:ascii="宋体" w:hAnsi="宋体" w:eastAsia="宋体" w:cs="宋体"/>
                <w:color w:val="auto"/>
                <w:szCs w:val="21"/>
                <w:highlight w:val="none"/>
              </w:rPr>
            </w:pPr>
          </w:p>
        </w:tc>
      </w:tr>
      <w:tr w14:paraId="2E50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386AF96B">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p>
        </w:tc>
        <w:tc>
          <w:tcPr>
            <w:tcW w:w="4317" w:type="dxa"/>
            <w:noWrap w:val="0"/>
            <w:vAlign w:val="center"/>
          </w:tcPr>
          <w:p w14:paraId="713472FB">
            <w:pPr>
              <w:ind w:firstLine="200"/>
              <w:jc w:val="center"/>
              <w:rPr>
                <w:rFonts w:hint="eastAsia" w:ascii="宋体" w:hAnsi="宋体" w:eastAsia="宋体" w:cs="宋体"/>
                <w:color w:val="auto"/>
                <w:szCs w:val="21"/>
                <w:highlight w:val="none"/>
              </w:rPr>
            </w:pPr>
          </w:p>
        </w:tc>
        <w:tc>
          <w:tcPr>
            <w:tcW w:w="3237" w:type="dxa"/>
            <w:gridSpan w:val="2"/>
            <w:noWrap w:val="0"/>
            <w:vAlign w:val="center"/>
          </w:tcPr>
          <w:p w14:paraId="2F50A4BF">
            <w:pPr>
              <w:ind w:firstLine="200"/>
              <w:jc w:val="center"/>
              <w:rPr>
                <w:rFonts w:hint="eastAsia" w:ascii="宋体" w:hAnsi="宋体" w:eastAsia="宋体" w:cs="宋体"/>
                <w:color w:val="auto"/>
                <w:szCs w:val="21"/>
                <w:highlight w:val="none"/>
              </w:rPr>
            </w:pPr>
          </w:p>
        </w:tc>
      </w:tr>
      <w:tr w14:paraId="797D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25C1EBD7">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p>
        </w:tc>
        <w:tc>
          <w:tcPr>
            <w:tcW w:w="4317" w:type="dxa"/>
            <w:noWrap w:val="0"/>
            <w:vAlign w:val="center"/>
          </w:tcPr>
          <w:p w14:paraId="69DF56C2">
            <w:pPr>
              <w:ind w:firstLine="200"/>
              <w:jc w:val="center"/>
              <w:rPr>
                <w:rFonts w:hint="eastAsia" w:ascii="宋体" w:hAnsi="宋体" w:eastAsia="宋体" w:cs="宋体"/>
                <w:color w:val="auto"/>
                <w:szCs w:val="21"/>
                <w:highlight w:val="none"/>
              </w:rPr>
            </w:pPr>
          </w:p>
        </w:tc>
        <w:tc>
          <w:tcPr>
            <w:tcW w:w="3237" w:type="dxa"/>
            <w:gridSpan w:val="2"/>
            <w:noWrap w:val="0"/>
            <w:vAlign w:val="center"/>
          </w:tcPr>
          <w:p w14:paraId="51476C77">
            <w:pPr>
              <w:ind w:firstLine="200"/>
              <w:jc w:val="center"/>
              <w:rPr>
                <w:rFonts w:hint="eastAsia" w:ascii="宋体" w:hAnsi="宋体" w:eastAsia="宋体" w:cs="宋体"/>
                <w:color w:val="auto"/>
                <w:szCs w:val="21"/>
                <w:highlight w:val="none"/>
              </w:rPr>
            </w:pPr>
          </w:p>
        </w:tc>
      </w:tr>
      <w:tr w14:paraId="0110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14:paraId="34AD7F77">
            <w:pPr>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p>
        </w:tc>
        <w:tc>
          <w:tcPr>
            <w:tcW w:w="4317" w:type="dxa"/>
            <w:noWrap w:val="0"/>
            <w:vAlign w:val="center"/>
          </w:tcPr>
          <w:p w14:paraId="0CD033E4">
            <w:pPr>
              <w:ind w:firstLine="200"/>
              <w:jc w:val="center"/>
              <w:rPr>
                <w:rFonts w:hint="eastAsia" w:ascii="宋体" w:hAnsi="宋体" w:eastAsia="宋体" w:cs="宋体"/>
                <w:color w:val="auto"/>
                <w:szCs w:val="21"/>
                <w:highlight w:val="none"/>
              </w:rPr>
            </w:pPr>
          </w:p>
        </w:tc>
        <w:tc>
          <w:tcPr>
            <w:tcW w:w="3237" w:type="dxa"/>
            <w:gridSpan w:val="2"/>
            <w:noWrap w:val="0"/>
            <w:vAlign w:val="center"/>
          </w:tcPr>
          <w:p w14:paraId="0BC5569B">
            <w:pPr>
              <w:ind w:firstLine="200"/>
              <w:jc w:val="center"/>
              <w:rPr>
                <w:rFonts w:hint="eastAsia" w:ascii="宋体" w:hAnsi="宋体" w:eastAsia="宋体" w:cs="宋体"/>
                <w:color w:val="auto"/>
                <w:szCs w:val="21"/>
                <w:highlight w:val="none"/>
              </w:rPr>
            </w:pPr>
          </w:p>
        </w:tc>
      </w:tr>
      <w:tr w14:paraId="0612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14:paraId="01509CD5">
            <w:pPr>
              <w:ind w:firstLine="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3237" w:type="dxa"/>
            <w:gridSpan w:val="2"/>
            <w:noWrap w:val="0"/>
            <w:vAlign w:val="center"/>
          </w:tcPr>
          <w:p w14:paraId="54273F37">
            <w:pPr>
              <w:ind w:firstLine="200"/>
              <w:jc w:val="center"/>
              <w:rPr>
                <w:rFonts w:hint="eastAsia" w:ascii="宋体" w:hAnsi="宋体" w:eastAsia="宋体" w:cs="宋体"/>
                <w:color w:val="auto"/>
                <w:szCs w:val="21"/>
                <w:highlight w:val="none"/>
              </w:rPr>
            </w:pPr>
          </w:p>
        </w:tc>
      </w:tr>
    </w:tbl>
    <w:p w14:paraId="40506F97">
      <w:pPr>
        <w:spacing w:line="360" w:lineRule="auto"/>
        <w:ind w:firstLine="437"/>
        <w:outlineLvl w:val="3"/>
        <w:rPr>
          <w:rFonts w:hint="eastAsia" w:ascii="宋体" w:hAnsi="宋体" w:eastAsia="宋体" w:cs="宋体"/>
          <w:b/>
          <w:bCs/>
          <w:color w:val="auto"/>
          <w:szCs w:val="21"/>
          <w:highlight w:val="none"/>
          <w:lang w:val="zh-CN"/>
        </w:rPr>
      </w:pPr>
      <w:bookmarkStart w:id="37" w:name="_Toc10340"/>
      <w:bookmarkStart w:id="38" w:name="_Toc22618"/>
      <w:bookmarkStart w:id="39" w:name="_Toc1814"/>
      <w:r>
        <w:rPr>
          <w:rFonts w:hint="eastAsia" w:ascii="宋体" w:hAnsi="宋体" w:eastAsia="宋体" w:cs="宋体"/>
          <w:b/>
          <w:bCs/>
          <w:color w:val="auto"/>
          <w:szCs w:val="21"/>
          <w:highlight w:val="none"/>
          <w:lang w:val="zh-CN"/>
        </w:rPr>
        <w:t>1.4 付款方式和发票开具方式</w:t>
      </w:r>
      <w:bookmarkEnd w:id="37"/>
      <w:bookmarkEnd w:id="38"/>
      <w:bookmarkEnd w:id="39"/>
    </w:p>
    <w:p w14:paraId="573430E7">
      <w:pPr>
        <w:pStyle w:val="63"/>
        <w:spacing w:before="0" w:beforeAutospacing="0" w:after="0" w:afterAutospacing="0" w:line="58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1.4.1付款方式：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392C879">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1.4.2发票开具方式：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3325EF3">
      <w:pPr>
        <w:spacing w:line="360" w:lineRule="auto"/>
        <w:ind w:firstLine="437"/>
        <w:outlineLvl w:val="3"/>
        <w:rPr>
          <w:rFonts w:hint="eastAsia" w:ascii="宋体" w:hAnsi="宋体" w:eastAsia="宋体" w:cs="宋体"/>
          <w:b/>
          <w:bCs/>
          <w:color w:val="auto"/>
          <w:szCs w:val="21"/>
          <w:highlight w:val="none"/>
          <w:lang w:val="zh-CN"/>
        </w:rPr>
      </w:pPr>
      <w:bookmarkStart w:id="40" w:name="_Toc19304"/>
      <w:bookmarkStart w:id="41" w:name="_Toc32071"/>
      <w:bookmarkStart w:id="42" w:name="_Toc2846"/>
      <w:r>
        <w:rPr>
          <w:rFonts w:hint="eastAsia" w:ascii="宋体" w:hAnsi="宋体" w:eastAsia="宋体" w:cs="宋体"/>
          <w:b/>
          <w:bCs/>
          <w:color w:val="auto"/>
          <w:szCs w:val="21"/>
          <w:highlight w:val="none"/>
          <w:lang w:val="zh-CN"/>
        </w:rPr>
        <w:t>1.5 服务期限、地点和方式</w:t>
      </w:r>
      <w:bookmarkEnd w:id="40"/>
      <w:bookmarkEnd w:id="41"/>
      <w:bookmarkEnd w:id="42"/>
    </w:p>
    <w:p w14:paraId="084B9214">
      <w:pPr>
        <w:spacing w:line="360" w:lineRule="auto"/>
        <w:ind w:firstLine="435"/>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1.5.1服务期限：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094DE8F">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1.5.2服务地点：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F3B25F5">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1.5.3服务方式：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642C544">
      <w:pPr>
        <w:spacing w:line="360" w:lineRule="auto"/>
        <w:ind w:firstLine="437"/>
        <w:outlineLvl w:val="3"/>
        <w:rPr>
          <w:rFonts w:hint="eastAsia" w:ascii="宋体" w:hAnsi="宋体" w:eastAsia="宋体" w:cs="宋体"/>
          <w:b/>
          <w:bCs/>
          <w:color w:val="auto"/>
          <w:szCs w:val="21"/>
          <w:highlight w:val="none"/>
          <w:lang w:val="zh-CN"/>
        </w:rPr>
      </w:pPr>
      <w:bookmarkStart w:id="43" w:name="_Toc21423"/>
      <w:bookmarkStart w:id="44" w:name="_Toc27250"/>
      <w:bookmarkStart w:id="45" w:name="_Toc19554"/>
      <w:r>
        <w:rPr>
          <w:rFonts w:hint="eastAsia" w:ascii="宋体" w:hAnsi="宋体" w:eastAsia="宋体" w:cs="宋体"/>
          <w:b/>
          <w:bCs/>
          <w:color w:val="auto"/>
          <w:szCs w:val="21"/>
          <w:highlight w:val="none"/>
          <w:lang w:val="zh-CN"/>
        </w:rPr>
        <w:t>1.6 违约责任</w:t>
      </w:r>
      <w:bookmarkEnd w:id="43"/>
      <w:bookmarkEnd w:id="44"/>
      <w:bookmarkEnd w:id="45"/>
    </w:p>
    <w:p w14:paraId="6B9420BB">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1.6.1除不可抗力外，如果乙方没有按照本合同约定的期限、地点和方式履行，那么甲方可要求乙方支付违约金，违约金按每迟延履行一日以合同总价的</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%计算，最高限额为本合同总价的</w:t>
      </w:r>
      <w:r>
        <w:rPr>
          <w:rFonts w:hint="eastAsia" w:ascii="宋体" w:hAnsi="宋体" w:eastAsia="宋体" w:cs="宋体"/>
          <w:color w:val="auto"/>
          <w:szCs w:val="21"/>
          <w:highlight w:val="none"/>
          <w:u w:val="single"/>
        </w:rPr>
        <w:t xml:space="preserve"> 50 </w:t>
      </w:r>
      <w:r>
        <w:rPr>
          <w:rFonts w:hint="eastAsia" w:ascii="宋体" w:hAnsi="宋体" w:eastAsia="宋体" w:cs="宋体"/>
          <w:color w:val="auto"/>
          <w:szCs w:val="21"/>
          <w:highlight w:val="none"/>
        </w:rPr>
        <w:t>%；迟延履行的违约金计算数额达到前述最高限额之日起，甲方有权在要求乙方支付违约金的同时，书面通知乙方解除本合同；</w:t>
      </w:r>
    </w:p>
    <w:p w14:paraId="6DC6E77C">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Cs w:val="21"/>
          <w:highlight w:val="none"/>
          <w:u w:val="single"/>
        </w:rPr>
        <w:t xml:space="preserve"> 1</w:t>
      </w:r>
      <w:r>
        <w:rPr>
          <w:rFonts w:hint="eastAsia" w:ascii="宋体" w:hAnsi="宋体" w:eastAsia="宋体" w:cs="宋体"/>
          <w:color w:val="auto"/>
          <w:szCs w:val="21"/>
          <w:highlight w:val="none"/>
        </w:rPr>
        <w:t>%计算，最高限额为本合同总价的</w:t>
      </w:r>
      <w:r>
        <w:rPr>
          <w:rFonts w:hint="eastAsia" w:ascii="宋体" w:hAnsi="宋体" w:eastAsia="宋体" w:cs="宋体"/>
          <w:color w:val="auto"/>
          <w:szCs w:val="21"/>
          <w:highlight w:val="none"/>
          <w:u w:val="single"/>
        </w:rPr>
        <w:t xml:space="preserve"> 50</w:t>
      </w:r>
      <w:r>
        <w:rPr>
          <w:rFonts w:hint="eastAsia" w:ascii="宋体" w:hAnsi="宋体" w:eastAsia="宋体" w:cs="宋体"/>
          <w:color w:val="auto"/>
          <w:szCs w:val="21"/>
          <w:highlight w:val="none"/>
        </w:rPr>
        <w:t>%；迟延付款的违约金计算数额达到前述最高限额之日起，乙方有权在要求甲方支付违约金的同时，书面通知甲方解除本合同；</w:t>
      </w:r>
    </w:p>
    <w:p w14:paraId="19ADF896">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91EF2FD">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529B7E6">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2391920">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381D7366">
      <w:pPr>
        <w:spacing w:line="360" w:lineRule="auto"/>
        <w:ind w:firstLine="437"/>
        <w:outlineLvl w:val="3"/>
        <w:rPr>
          <w:rFonts w:hint="eastAsia" w:ascii="宋体" w:hAnsi="宋体" w:eastAsia="宋体" w:cs="宋体"/>
          <w:b/>
          <w:bCs/>
          <w:color w:val="auto"/>
          <w:szCs w:val="21"/>
          <w:highlight w:val="none"/>
          <w:lang w:val="zh-CN"/>
        </w:rPr>
      </w:pPr>
      <w:bookmarkStart w:id="46" w:name="_Toc15583"/>
      <w:bookmarkStart w:id="47" w:name="_Toc28375"/>
      <w:bookmarkStart w:id="48" w:name="_Toc16021"/>
      <w:r>
        <w:rPr>
          <w:rFonts w:hint="eastAsia" w:ascii="宋体" w:hAnsi="宋体" w:eastAsia="宋体" w:cs="宋体"/>
          <w:b/>
          <w:bCs/>
          <w:color w:val="auto"/>
          <w:szCs w:val="21"/>
          <w:highlight w:val="none"/>
          <w:lang w:val="zh-CN"/>
        </w:rPr>
        <w:t>1.7 合同争议的解决</w:t>
      </w:r>
      <w:bookmarkEnd w:id="46"/>
      <w:bookmarkEnd w:id="47"/>
      <w:bookmarkEnd w:id="48"/>
    </w:p>
    <w:p w14:paraId="0050B0CC">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Cs w:val="21"/>
          <w:highlight w:val="none"/>
          <w:u w:val="single"/>
        </w:rPr>
        <w:t xml:space="preserve"> 1.7.2 </w:t>
      </w:r>
      <w:r>
        <w:rPr>
          <w:rFonts w:hint="eastAsia" w:ascii="宋体" w:hAnsi="宋体" w:eastAsia="宋体" w:cs="宋体"/>
          <w:color w:val="auto"/>
          <w:szCs w:val="21"/>
          <w:highlight w:val="none"/>
        </w:rPr>
        <w:t>种方式解决：</w:t>
      </w:r>
    </w:p>
    <w:p w14:paraId="08F54646">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1.7.1将争议提交滁州仲裁委员会依申请仲裁时其现行有效的仲裁规则裁决；</w:t>
      </w:r>
    </w:p>
    <w:p w14:paraId="32A06450">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1.7.2向甲方（采购人）</w:t>
      </w:r>
      <w:r>
        <w:rPr>
          <w:rFonts w:hint="eastAsia" w:ascii="宋体" w:hAnsi="宋体" w:eastAsia="宋体" w:cs="宋体"/>
          <w:color w:val="auto"/>
          <w:szCs w:val="21"/>
          <w:highlight w:val="none"/>
          <w:u w:val="none" w:color="000000"/>
        </w:rPr>
        <w:t>所在地</w:t>
      </w:r>
      <w:r>
        <w:rPr>
          <w:rFonts w:hint="eastAsia" w:ascii="宋体" w:hAnsi="宋体" w:eastAsia="宋体" w:cs="宋体"/>
          <w:color w:val="auto"/>
          <w:szCs w:val="21"/>
          <w:highlight w:val="none"/>
        </w:rPr>
        <w:t>人民法院起诉。</w:t>
      </w:r>
    </w:p>
    <w:p w14:paraId="68D42729">
      <w:pPr>
        <w:spacing w:line="360" w:lineRule="auto"/>
        <w:ind w:firstLine="437"/>
        <w:outlineLvl w:val="3"/>
        <w:rPr>
          <w:rFonts w:hint="eastAsia" w:ascii="宋体" w:hAnsi="宋体" w:eastAsia="宋体" w:cs="宋体"/>
          <w:b/>
          <w:bCs/>
          <w:color w:val="auto"/>
          <w:szCs w:val="21"/>
          <w:highlight w:val="none"/>
          <w:lang w:val="zh-CN"/>
        </w:rPr>
      </w:pPr>
      <w:bookmarkStart w:id="49" w:name="_Toc11173"/>
      <w:bookmarkStart w:id="50" w:name="_Toc15322"/>
      <w:bookmarkStart w:id="51" w:name="_Toc7245"/>
      <w:r>
        <w:rPr>
          <w:rFonts w:hint="eastAsia" w:ascii="宋体" w:hAnsi="宋体" w:eastAsia="宋体" w:cs="宋体"/>
          <w:b/>
          <w:bCs/>
          <w:color w:val="auto"/>
          <w:szCs w:val="21"/>
          <w:highlight w:val="none"/>
          <w:lang w:val="zh-CN"/>
        </w:rPr>
        <w:t>1.8 合同生效</w:t>
      </w:r>
      <w:bookmarkEnd w:id="49"/>
      <w:bookmarkEnd w:id="50"/>
      <w:bookmarkEnd w:id="51"/>
    </w:p>
    <w:p w14:paraId="1568EBB5">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本合同自双方当事人盖章时生效。</w:t>
      </w:r>
    </w:p>
    <w:p w14:paraId="30BF873F">
      <w:pPr>
        <w:autoSpaceDE w:val="0"/>
        <w:autoSpaceDN w:val="0"/>
        <w:adjustRightInd w:val="0"/>
        <w:spacing w:line="560" w:lineRule="exact"/>
        <w:rPr>
          <w:rFonts w:hint="eastAsia" w:ascii="宋体" w:hAnsi="宋体" w:eastAsia="宋体" w:cs="宋体"/>
          <w:color w:val="auto"/>
          <w:szCs w:val="21"/>
          <w:highlight w:val="none"/>
          <w:lang w:val="zh-CN"/>
        </w:rPr>
      </w:pPr>
    </w:p>
    <w:p w14:paraId="42251989">
      <w:pPr>
        <w:autoSpaceDE w:val="0"/>
        <w:autoSpaceDN w:val="0"/>
        <w:adjustRightInd w:val="0"/>
        <w:spacing w:line="560" w:lineRule="exact"/>
        <w:rPr>
          <w:rFonts w:hint="eastAsia" w:ascii="宋体" w:hAnsi="宋体" w:eastAsia="宋体" w:cs="宋体"/>
          <w:color w:val="auto"/>
          <w:szCs w:val="21"/>
          <w:highlight w:val="none"/>
          <w:lang w:val="zh-CN"/>
        </w:rPr>
      </w:pPr>
    </w:p>
    <w:p w14:paraId="41B4A9F1">
      <w:pPr>
        <w:autoSpaceDE w:val="0"/>
        <w:autoSpaceDN w:val="0"/>
        <w:adjustRightInd w:val="0"/>
        <w:spacing w:line="560" w:lineRule="exact"/>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甲    方：</w:t>
      </w:r>
      <w:r>
        <w:rPr>
          <w:rFonts w:hint="eastAsia" w:ascii="宋体" w:hAnsi="宋体" w:eastAsia="宋体" w:cs="宋体"/>
          <w:bCs/>
          <w:color w:val="auto"/>
          <w:szCs w:val="21"/>
          <w:highlight w:val="none"/>
          <w:u w:val="single"/>
          <w:lang w:val="zh-CN"/>
        </w:rPr>
        <w:t xml:space="preserve">    （单位盖章）     </w:t>
      </w:r>
      <w:r>
        <w:rPr>
          <w:rFonts w:hint="eastAsia" w:ascii="宋体" w:hAnsi="宋体" w:eastAsia="宋体" w:cs="宋体"/>
          <w:bCs/>
          <w:color w:val="auto"/>
          <w:szCs w:val="21"/>
          <w:highlight w:val="none"/>
          <w:lang w:val="zh-CN"/>
        </w:rPr>
        <w:t xml:space="preserve">          乙</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zh-CN"/>
        </w:rPr>
        <w:t>方：</w:t>
      </w:r>
      <w:r>
        <w:rPr>
          <w:rFonts w:hint="eastAsia" w:ascii="宋体" w:hAnsi="宋体" w:eastAsia="宋体" w:cs="宋体"/>
          <w:bCs/>
          <w:color w:val="auto"/>
          <w:szCs w:val="21"/>
          <w:highlight w:val="none"/>
          <w:u w:val="single"/>
          <w:lang w:val="zh-CN"/>
        </w:rPr>
        <w:t xml:space="preserve">    （单位盖章）     </w:t>
      </w:r>
    </w:p>
    <w:p w14:paraId="69FBC19A">
      <w:pPr>
        <w:autoSpaceDE w:val="0"/>
        <w:autoSpaceDN w:val="0"/>
        <w:adjustRightInd w:val="0"/>
        <w:spacing w:line="5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                               法定代表人</w:t>
      </w:r>
    </w:p>
    <w:p w14:paraId="57CA4113">
      <w:pPr>
        <w:autoSpaceDE w:val="0"/>
        <w:autoSpaceDN w:val="0"/>
        <w:adjustRightInd w:val="0"/>
        <w:spacing w:line="560" w:lineRule="exac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或授权代表（签字）：                     或授权代表（签字）：</w:t>
      </w:r>
    </w:p>
    <w:p w14:paraId="606EE4F6">
      <w:pPr>
        <w:widowControl/>
        <w:spacing w:line="560" w:lineRule="exact"/>
        <w:jc w:val="left"/>
        <w:rPr>
          <w:rFonts w:hint="eastAsia" w:ascii="宋体" w:hAnsi="宋体" w:eastAsia="宋体" w:cs="宋体"/>
          <w:bCs/>
          <w:color w:val="auto"/>
          <w:szCs w:val="21"/>
          <w:highlight w:val="none"/>
        </w:rPr>
      </w:pPr>
      <w:bookmarkStart w:id="52" w:name="_Toc331685783"/>
      <w:r>
        <w:rPr>
          <w:rFonts w:hint="eastAsia" w:ascii="宋体" w:hAnsi="宋体" w:eastAsia="宋体" w:cs="宋体"/>
          <w:bCs/>
          <w:color w:val="auto"/>
          <w:szCs w:val="21"/>
          <w:highlight w:val="none"/>
        </w:rPr>
        <w:t>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               时间：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w:t>
      </w:r>
    </w:p>
    <w:p w14:paraId="74429669">
      <w:pPr>
        <w:widowControl/>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14DC946A">
      <w:pPr>
        <w:spacing w:line="360" w:lineRule="auto"/>
        <w:jc w:val="center"/>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第二部分 合同一般条款</w:t>
      </w:r>
      <w:bookmarkEnd w:id="52"/>
    </w:p>
    <w:p w14:paraId="6B1F8103">
      <w:pPr>
        <w:spacing w:line="360" w:lineRule="auto"/>
        <w:ind w:firstLine="437"/>
        <w:outlineLvl w:val="3"/>
        <w:rPr>
          <w:rFonts w:hint="eastAsia" w:ascii="宋体" w:hAnsi="宋体" w:eastAsia="宋体" w:cs="宋体"/>
          <w:b/>
          <w:bCs/>
          <w:color w:val="auto"/>
          <w:szCs w:val="21"/>
          <w:highlight w:val="none"/>
          <w:lang w:val="zh-CN"/>
        </w:rPr>
      </w:pPr>
      <w:bookmarkStart w:id="53" w:name="_Ref467379205"/>
      <w:bookmarkStart w:id="54" w:name="_Toc487900349"/>
      <w:bookmarkStart w:id="55" w:name="_Ref467379094"/>
      <w:bookmarkStart w:id="56" w:name="_Ref467378463"/>
      <w:bookmarkStart w:id="57" w:name="_Ref467379225"/>
      <w:bookmarkStart w:id="58" w:name="_Toc16917"/>
      <w:bookmarkStart w:id="59" w:name="_Ref467378404"/>
      <w:bookmarkStart w:id="60" w:name="_Ref467379214"/>
      <w:bookmarkStart w:id="61" w:name="_Ref467379109"/>
      <w:bookmarkStart w:id="62" w:name="_Ref467378499"/>
      <w:bookmarkStart w:id="63" w:name="_Toc19614"/>
      <w:bookmarkStart w:id="64" w:name="_Toc279701240"/>
      <w:bookmarkStart w:id="65" w:name="_Ref467379195"/>
      <w:bookmarkStart w:id="66" w:name="_Toc259093669"/>
      <w:bookmarkStart w:id="67" w:name="_Toc28763"/>
      <w:bookmarkStart w:id="68" w:name="_Ref467379101"/>
      <w:r>
        <w:rPr>
          <w:rFonts w:hint="eastAsia" w:ascii="宋体" w:hAnsi="宋体" w:eastAsia="宋体" w:cs="宋体"/>
          <w:b/>
          <w:bCs/>
          <w:color w:val="auto"/>
          <w:szCs w:val="21"/>
          <w:highlight w:val="none"/>
          <w:lang w:val="zh-CN"/>
        </w:rPr>
        <w:t>2.1 定义</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60101C07">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本合同中的下列词语应按以下内容进行解释：</w:t>
      </w:r>
    </w:p>
    <w:p w14:paraId="21A3A7C2">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2.1.1“合同”系指采购人和中标人签订的载明双方当事人所达成的协议，并包括所有的附件、附录和构成合同的其他文件。</w:t>
      </w:r>
    </w:p>
    <w:p w14:paraId="1FC0FB61">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2.1.2“合同价”系指根据合同约定，中标人在完全履行合同义务后，采购人应支付给中标人的价格。</w:t>
      </w:r>
    </w:p>
    <w:p w14:paraId="314384EC">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2.1.3“服务”系指中标人根据合同约定应向采购人履行的除货物和工程以外的其他政府采购对象，包括采购人自身需要的服务和向社会公众提供的公共服务。</w:t>
      </w:r>
    </w:p>
    <w:p w14:paraId="6A3D5EF9">
      <w:pPr>
        <w:spacing w:line="360" w:lineRule="auto"/>
        <w:ind w:firstLine="435"/>
        <w:rPr>
          <w:rFonts w:hint="eastAsia" w:ascii="宋体" w:hAnsi="宋体" w:eastAsia="宋体" w:cs="宋体"/>
          <w:color w:val="auto"/>
          <w:szCs w:val="21"/>
          <w:highlight w:val="none"/>
        </w:rPr>
      </w:pPr>
      <w:bookmarkStart w:id="69" w:name="_Ref467378840"/>
      <w:r>
        <w:rPr>
          <w:rFonts w:hint="eastAsia" w:ascii="宋体" w:hAnsi="宋体" w:eastAsia="宋体" w:cs="宋体"/>
          <w:color w:val="auto"/>
          <w:szCs w:val="21"/>
          <w:highlight w:val="none"/>
        </w:rPr>
        <w:t>2.1.4“甲方”系指与中标人签署合同的采购人</w:t>
      </w:r>
      <w:bookmarkEnd w:id="69"/>
      <w:r>
        <w:rPr>
          <w:rFonts w:hint="eastAsia" w:ascii="宋体" w:hAnsi="宋体" w:eastAsia="宋体" w:cs="宋体"/>
          <w:color w:val="auto"/>
          <w:szCs w:val="21"/>
          <w:highlight w:val="none"/>
        </w:rPr>
        <w:t>；采购人委托采购代理机构代表其与乙方签订合同的，采购人的授权委托书作为合同附件。</w:t>
      </w:r>
    </w:p>
    <w:p w14:paraId="0461E68E">
      <w:pPr>
        <w:spacing w:line="360" w:lineRule="auto"/>
        <w:ind w:firstLine="435"/>
        <w:rPr>
          <w:rFonts w:hint="eastAsia" w:ascii="宋体" w:hAnsi="宋体" w:eastAsia="宋体" w:cs="宋体"/>
          <w:color w:val="auto"/>
          <w:szCs w:val="21"/>
          <w:highlight w:val="none"/>
        </w:rPr>
      </w:pPr>
      <w:bookmarkStart w:id="70" w:name="_Ref467379400"/>
      <w:r>
        <w:rPr>
          <w:rFonts w:hint="eastAsia" w:ascii="宋体" w:hAnsi="宋体" w:eastAsia="宋体" w:cs="宋体"/>
          <w:color w:val="auto"/>
          <w:szCs w:val="21"/>
          <w:highlight w:val="none"/>
        </w:rPr>
        <w:t>2.1.5“乙方”系指根据合同约定提供服务的中标人</w:t>
      </w:r>
      <w:bookmarkEnd w:id="70"/>
      <w:r>
        <w:rPr>
          <w:rFonts w:hint="eastAsia" w:ascii="宋体" w:hAnsi="宋体" w:eastAsia="宋体" w:cs="宋体"/>
          <w:color w:val="auto"/>
          <w:szCs w:val="21"/>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79ACDFD">
      <w:pPr>
        <w:spacing w:line="360" w:lineRule="auto"/>
        <w:ind w:firstLine="435"/>
        <w:rPr>
          <w:rFonts w:hint="eastAsia" w:ascii="宋体" w:hAnsi="宋体" w:eastAsia="宋体" w:cs="宋体"/>
          <w:color w:val="auto"/>
          <w:szCs w:val="21"/>
          <w:highlight w:val="none"/>
        </w:rPr>
      </w:pPr>
      <w:bookmarkStart w:id="71" w:name="_Ref467379436"/>
      <w:r>
        <w:rPr>
          <w:rFonts w:hint="eastAsia" w:ascii="宋体" w:hAnsi="宋体" w:eastAsia="宋体" w:cs="宋体"/>
          <w:color w:val="auto"/>
          <w:szCs w:val="21"/>
          <w:highlight w:val="none"/>
        </w:rPr>
        <w:t>2.1.6“现场”系指合同约定提供服务的地点。</w:t>
      </w:r>
      <w:bookmarkEnd w:id="71"/>
    </w:p>
    <w:p w14:paraId="34D3678F">
      <w:pPr>
        <w:spacing w:line="360" w:lineRule="auto"/>
        <w:ind w:firstLine="437"/>
        <w:outlineLvl w:val="3"/>
        <w:rPr>
          <w:rFonts w:hint="eastAsia" w:ascii="宋体" w:hAnsi="宋体" w:eastAsia="宋体" w:cs="宋体"/>
          <w:b/>
          <w:bCs/>
          <w:color w:val="auto"/>
          <w:szCs w:val="21"/>
          <w:highlight w:val="none"/>
          <w:lang w:val="zh-CN"/>
        </w:rPr>
      </w:pPr>
      <w:bookmarkStart w:id="72" w:name="_Toc259093670"/>
      <w:bookmarkStart w:id="73" w:name="_Toc32504"/>
      <w:bookmarkStart w:id="74" w:name="_Toc13336"/>
      <w:bookmarkStart w:id="75" w:name="_Toc487900350"/>
      <w:bookmarkStart w:id="76" w:name="_Toc27635"/>
      <w:bookmarkStart w:id="77" w:name="_Toc279701241"/>
      <w:r>
        <w:rPr>
          <w:rFonts w:hint="eastAsia" w:ascii="宋体" w:hAnsi="宋体" w:eastAsia="宋体" w:cs="宋体"/>
          <w:b/>
          <w:bCs/>
          <w:color w:val="auto"/>
          <w:szCs w:val="21"/>
          <w:highlight w:val="none"/>
          <w:lang w:val="zh-CN"/>
        </w:rPr>
        <w:t>2.2 技术规范</w:t>
      </w:r>
      <w:bookmarkEnd w:id="72"/>
      <w:bookmarkEnd w:id="73"/>
      <w:bookmarkEnd w:id="74"/>
      <w:bookmarkEnd w:id="75"/>
      <w:bookmarkEnd w:id="76"/>
      <w:bookmarkEnd w:id="77"/>
    </w:p>
    <w:p w14:paraId="34B2292C">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A98BF12">
      <w:pPr>
        <w:spacing w:line="360" w:lineRule="auto"/>
        <w:ind w:firstLine="437"/>
        <w:outlineLvl w:val="3"/>
        <w:rPr>
          <w:rFonts w:hint="eastAsia" w:ascii="宋体" w:hAnsi="宋体" w:eastAsia="宋体" w:cs="宋体"/>
          <w:b/>
          <w:bCs/>
          <w:color w:val="auto"/>
          <w:szCs w:val="21"/>
          <w:highlight w:val="none"/>
          <w:lang w:val="zh-CN"/>
        </w:rPr>
      </w:pPr>
      <w:bookmarkStart w:id="78" w:name="_Toc487900351"/>
      <w:bookmarkStart w:id="79" w:name="_Toc279701242"/>
      <w:bookmarkStart w:id="80" w:name="_Toc27853"/>
      <w:bookmarkStart w:id="81" w:name="_Toc31634"/>
      <w:bookmarkStart w:id="82" w:name="_Toc259093671"/>
      <w:bookmarkStart w:id="83" w:name="_Toc9829"/>
      <w:r>
        <w:rPr>
          <w:rFonts w:hint="eastAsia" w:ascii="宋体" w:hAnsi="宋体" w:eastAsia="宋体" w:cs="宋体"/>
          <w:b/>
          <w:bCs/>
          <w:color w:val="auto"/>
          <w:szCs w:val="21"/>
          <w:highlight w:val="none"/>
          <w:lang w:val="zh-CN"/>
        </w:rPr>
        <w:t>2.3 知识产权</w:t>
      </w:r>
      <w:bookmarkEnd w:id="78"/>
      <w:bookmarkEnd w:id="79"/>
      <w:bookmarkEnd w:id="80"/>
      <w:bookmarkEnd w:id="81"/>
      <w:bookmarkEnd w:id="82"/>
      <w:bookmarkEnd w:id="83"/>
    </w:p>
    <w:p w14:paraId="2B4DDFAD">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4C9F6EED">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2.3.2具有知识产权的计算机软件等货物的知识产权归属，详见</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w:t>
      </w:r>
    </w:p>
    <w:p w14:paraId="4ED35569">
      <w:pPr>
        <w:spacing w:line="360" w:lineRule="auto"/>
        <w:ind w:firstLine="437"/>
        <w:outlineLvl w:val="3"/>
        <w:rPr>
          <w:rFonts w:hint="eastAsia" w:ascii="宋体" w:hAnsi="宋体" w:eastAsia="宋体" w:cs="宋体"/>
          <w:b/>
          <w:bCs/>
          <w:color w:val="auto"/>
          <w:szCs w:val="21"/>
          <w:highlight w:val="none"/>
          <w:lang w:val="zh-CN"/>
        </w:rPr>
      </w:pPr>
      <w:bookmarkStart w:id="84" w:name="_Ref467379536"/>
      <w:bookmarkStart w:id="85" w:name="_Toc259093674"/>
      <w:bookmarkStart w:id="86" w:name="_Ref467379542"/>
      <w:bookmarkStart w:id="87" w:name="_Ref467378541"/>
      <w:bookmarkStart w:id="88" w:name="_Ref467378591"/>
      <w:bookmarkStart w:id="89" w:name="_Toc487900354"/>
      <w:bookmarkStart w:id="90" w:name="_Toc279701245"/>
      <w:bookmarkStart w:id="91" w:name="_Ref467379527"/>
      <w:bookmarkStart w:id="92" w:name="_Toc26182"/>
      <w:bookmarkStart w:id="93" w:name="_Toc30272"/>
      <w:bookmarkStart w:id="94" w:name="_Toc19074"/>
      <w:r>
        <w:rPr>
          <w:rFonts w:hint="eastAsia" w:ascii="宋体" w:hAnsi="宋体" w:eastAsia="宋体" w:cs="宋体"/>
          <w:b/>
          <w:bCs/>
          <w:color w:val="auto"/>
          <w:szCs w:val="21"/>
          <w:highlight w:val="none"/>
          <w:lang w:val="zh-CN"/>
        </w:rPr>
        <w:t>2.</w:t>
      </w:r>
      <w:bookmarkEnd w:id="84"/>
      <w:bookmarkEnd w:id="85"/>
      <w:bookmarkEnd w:id="86"/>
      <w:bookmarkEnd w:id="87"/>
      <w:bookmarkEnd w:id="88"/>
      <w:bookmarkEnd w:id="89"/>
      <w:bookmarkEnd w:id="90"/>
      <w:bookmarkEnd w:id="91"/>
      <w:r>
        <w:rPr>
          <w:rFonts w:hint="eastAsia" w:ascii="宋体" w:hAnsi="宋体" w:eastAsia="宋体" w:cs="宋体"/>
          <w:b/>
          <w:bCs/>
          <w:color w:val="auto"/>
          <w:szCs w:val="21"/>
          <w:highlight w:val="none"/>
          <w:lang w:val="zh-CN"/>
        </w:rPr>
        <w:t>4 履约检查和问题反馈</w:t>
      </w:r>
      <w:bookmarkEnd w:id="92"/>
      <w:bookmarkEnd w:id="93"/>
      <w:bookmarkEnd w:id="94"/>
    </w:p>
    <w:p w14:paraId="3F5D0809">
      <w:pPr>
        <w:spacing w:line="360" w:lineRule="auto"/>
        <w:ind w:firstLine="435"/>
        <w:rPr>
          <w:rFonts w:hint="eastAsia" w:ascii="宋体" w:hAnsi="宋体" w:eastAsia="宋体" w:cs="宋体"/>
          <w:color w:val="auto"/>
          <w:szCs w:val="21"/>
          <w:highlight w:val="none"/>
        </w:rPr>
      </w:pPr>
      <w:bookmarkStart w:id="95" w:name="_Toc186431854"/>
      <w:bookmarkStart w:id="96" w:name="_Toc259093676"/>
      <w:bookmarkStart w:id="97" w:name="_Toc487900357"/>
      <w:bookmarkStart w:id="98" w:name="_Ref467379793"/>
      <w:bookmarkStart w:id="99" w:name="_Ref467379807"/>
      <w:bookmarkStart w:id="100" w:name="_Toc279701247"/>
      <w:r>
        <w:rPr>
          <w:rFonts w:hint="eastAsia" w:ascii="宋体" w:hAnsi="宋体" w:eastAsia="宋体" w:cs="宋体"/>
          <w:color w:val="auto"/>
          <w:szCs w:val="21"/>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6436CAEB">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2.4.2合同履行期间，甲方有权将履行过程中出现的问题反馈给乙方，双方当事人应以书面形式约定需要完善和改进的内容</w:t>
      </w:r>
      <w:bookmarkEnd w:id="95"/>
      <w:bookmarkStart w:id="101" w:name="_Toc186431855"/>
      <w:r>
        <w:rPr>
          <w:rFonts w:hint="eastAsia" w:ascii="宋体" w:hAnsi="宋体" w:eastAsia="宋体" w:cs="宋体"/>
          <w:color w:val="auto"/>
          <w:szCs w:val="21"/>
          <w:highlight w:val="none"/>
        </w:rPr>
        <w:t>。</w:t>
      </w:r>
    </w:p>
    <w:bookmarkEnd w:id="101"/>
    <w:p w14:paraId="7DFBC5C7">
      <w:pPr>
        <w:spacing w:line="360" w:lineRule="auto"/>
        <w:ind w:firstLine="437"/>
        <w:outlineLvl w:val="3"/>
        <w:rPr>
          <w:rFonts w:hint="eastAsia" w:ascii="宋体" w:hAnsi="宋体" w:eastAsia="宋体" w:cs="宋体"/>
          <w:b/>
          <w:bCs/>
          <w:color w:val="auto"/>
          <w:szCs w:val="21"/>
          <w:highlight w:val="none"/>
          <w:lang w:val="zh-CN"/>
        </w:rPr>
      </w:pPr>
      <w:bookmarkStart w:id="102" w:name="_Toc7836"/>
      <w:bookmarkStart w:id="103" w:name="_Toc19219"/>
      <w:bookmarkStart w:id="104" w:name="_Toc28451"/>
      <w:r>
        <w:rPr>
          <w:rFonts w:hint="eastAsia" w:ascii="宋体" w:hAnsi="宋体" w:eastAsia="宋体" w:cs="宋体"/>
          <w:b/>
          <w:bCs/>
          <w:color w:val="auto"/>
          <w:szCs w:val="21"/>
          <w:highlight w:val="none"/>
          <w:lang w:val="zh-CN"/>
        </w:rPr>
        <w:t>2.5 结算方式和付款条件</w:t>
      </w:r>
      <w:bookmarkEnd w:id="96"/>
      <w:bookmarkEnd w:id="97"/>
      <w:bookmarkEnd w:id="98"/>
      <w:bookmarkEnd w:id="99"/>
      <w:bookmarkEnd w:id="100"/>
      <w:bookmarkEnd w:id="102"/>
      <w:bookmarkEnd w:id="103"/>
      <w:bookmarkEnd w:id="104"/>
    </w:p>
    <w:p w14:paraId="45A04562">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w:t>
      </w:r>
    </w:p>
    <w:p w14:paraId="1FFEA25E">
      <w:pPr>
        <w:spacing w:line="360" w:lineRule="auto"/>
        <w:ind w:firstLine="437"/>
        <w:outlineLvl w:val="3"/>
        <w:rPr>
          <w:rFonts w:hint="eastAsia" w:ascii="宋体" w:hAnsi="宋体" w:eastAsia="宋体" w:cs="宋体"/>
          <w:b/>
          <w:bCs/>
          <w:color w:val="auto"/>
          <w:szCs w:val="21"/>
          <w:highlight w:val="none"/>
          <w:lang w:val="zh-CN"/>
        </w:rPr>
      </w:pPr>
      <w:bookmarkStart w:id="105" w:name="_Ref467379923"/>
      <w:bookmarkStart w:id="106" w:name="_Ref467379852"/>
      <w:bookmarkStart w:id="107" w:name="_Ref467379863"/>
      <w:bookmarkStart w:id="108" w:name="_Toc487900358"/>
      <w:bookmarkStart w:id="109" w:name="_Toc259093677"/>
      <w:bookmarkStart w:id="110" w:name="_Toc279701248"/>
      <w:bookmarkStart w:id="111" w:name="_Toc3225"/>
      <w:bookmarkStart w:id="112" w:name="_Toc16110"/>
      <w:bookmarkStart w:id="113" w:name="_Toc774"/>
      <w:r>
        <w:rPr>
          <w:rFonts w:hint="eastAsia" w:ascii="宋体" w:hAnsi="宋体" w:eastAsia="宋体" w:cs="宋体"/>
          <w:b/>
          <w:bCs/>
          <w:color w:val="auto"/>
          <w:szCs w:val="21"/>
          <w:highlight w:val="none"/>
          <w:lang w:val="zh-CN"/>
        </w:rPr>
        <w:t>2.6 技术资料</w:t>
      </w:r>
      <w:bookmarkEnd w:id="105"/>
      <w:bookmarkEnd w:id="106"/>
      <w:bookmarkEnd w:id="107"/>
      <w:bookmarkEnd w:id="108"/>
      <w:bookmarkEnd w:id="109"/>
      <w:bookmarkEnd w:id="110"/>
      <w:r>
        <w:rPr>
          <w:rFonts w:hint="eastAsia" w:ascii="宋体" w:hAnsi="宋体" w:eastAsia="宋体" w:cs="宋体"/>
          <w:b/>
          <w:bCs/>
          <w:color w:val="auto"/>
          <w:szCs w:val="21"/>
          <w:highlight w:val="none"/>
          <w:lang w:val="zh-CN"/>
        </w:rPr>
        <w:t>和保密义务</w:t>
      </w:r>
      <w:bookmarkEnd w:id="111"/>
      <w:bookmarkEnd w:id="112"/>
      <w:bookmarkEnd w:id="113"/>
    </w:p>
    <w:p w14:paraId="3804EBF3">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2.6.1乙方有权依据合同约定和项目需要，向甲方了解有关情况，调阅有关资料等，甲方应予积极配合；</w:t>
      </w:r>
    </w:p>
    <w:p w14:paraId="42E0432F">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2.6.2乙方有义务妥善保管和保护由甲方提供的前款信息和资料等；</w:t>
      </w:r>
    </w:p>
    <w:p w14:paraId="05248C3B">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F0E6365">
      <w:pPr>
        <w:spacing w:line="360" w:lineRule="auto"/>
        <w:ind w:firstLine="437"/>
        <w:outlineLvl w:val="3"/>
        <w:rPr>
          <w:rFonts w:hint="eastAsia" w:ascii="宋体" w:hAnsi="宋体" w:eastAsia="宋体" w:cs="宋体"/>
          <w:b/>
          <w:bCs/>
          <w:color w:val="auto"/>
          <w:szCs w:val="21"/>
          <w:highlight w:val="none"/>
          <w:lang w:val="zh-CN"/>
        </w:rPr>
      </w:pPr>
      <w:bookmarkStart w:id="114" w:name="_Toc7860"/>
      <w:r>
        <w:rPr>
          <w:rFonts w:hint="eastAsia" w:ascii="宋体" w:hAnsi="宋体" w:eastAsia="宋体" w:cs="宋体"/>
          <w:b/>
          <w:bCs/>
          <w:color w:val="auto"/>
          <w:szCs w:val="21"/>
          <w:highlight w:val="none"/>
          <w:lang w:val="zh-CN"/>
        </w:rPr>
        <w:t>2.7 质量保证</w:t>
      </w:r>
      <w:bookmarkEnd w:id="114"/>
    </w:p>
    <w:p w14:paraId="2D67B3EA">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2.7.1乙方应建立和完善履行合同的内部质量保证体系，并提供相关内部规章制度给甲方，以便甲方进行监督检查；</w:t>
      </w:r>
    </w:p>
    <w:p w14:paraId="2C67C65B">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2.7.2乙方应保证履行合同的人员数量和素质、软件和硬件设备的配置、场地、环境和设施等满足全面履行合同的要求，并应接受甲方的监督检查。</w:t>
      </w:r>
    </w:p>
    <w:p w14:paraId="2D566B5A">
      <w:pPr>
        <w:spacing w:line="360" w:lineRule="auto"/>
        <w:ind w:firstLine="437"/>
        <w:outlineLvl w:val="3"/>
        <w:rPr>
          <w:rFonts w:hint="eastAsia" w:ascii="宋体" w:hAnsi="宋体" w:eastAsia="宋体" w:cs="宋体"/>
          <w:b/>
          <w:color w:val="auto"/>
          <w:szCs w:val="21"/>
          <w:highlight w:val="none"/>
        </w:rPr>
      </w:pPr>
      <w:bookmarkStart w:id="115" w:name="_Toc22267"/>
      <w:r>
        <w:rPr>
          <w:rFonts w:hint="eastAsia" w:ascii="宋体" w:hAnsi="宋体" w:eastAsia="宋体" w:cs="宋体"/>
          <w:b/>
          <w:color w:val="auto"/>
          <w:szCs w:val="21"/>
          <w:highlight w:val="none"/>
        </w:rPr>
        <w:t>2.8 延迟履行</w:t>
      </w:r>
      <w:bookmarkEnd w:id="115"/>
    </w:p>
    <w:p w14:paraId="584F25C7">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51AA8DF">
      <w:pPr>
        <w:spacing w:line="360" w:lineRule="auto"/>
        <w:ind w:firstLine="437"/>
        <w:outlineLvl w:val="3"/>
        <w:rPr>
          <w:rFonts w:hint="eastAsia" w:ascii="宋体" w:hAnsi="宋体" w:eastAsia="宋体" w:cs="宋体"/>
          <w:b/>
          <w:bCs/>
          <w:color w:val="auto"/>
          <w:szCs w:val="21"/>
          <w:highlight w:val="none"/>
          <w:lang w:val="zh-CN"/>
        </w:rPr>
      </w:pPr>
      <w:bookmarkStart w:id="116" w:name="_Toc7502"/>
      <w:bookmarkStart w:id="117" w:name="_Ref467378121"/>
      <w:bookmarkStart w:id="118" w:name="_Toc487900364"/>
      <w:bookmarkStart w:id="119" w:name="_Toc279701254"/>
      <w:bookmarkStart w:id="120" w:name="_Toc259093683"/>
      <w:r>
        <w:rPr>
          <w:rFonts w:hint="eastAsia" w:ascii="宋体" w:hAnsi="宋体" w:eastAsia="宋体" w:cs="宋体"/>
          <w:b/>
          <w:bCs/>
          <w:color w:val="auto"/>
          <w:szCs w:val="21"/>
          <w:highlight w:val="none"/>
          <w:lang w:val="zh-CN"/>
        </w:rPr>
        <w:t>2.9 合同变更</w:t>
      </w:r>
      <w:bookmarkEnd w:id="116"/>
    </w:p>
    <w:p w14:paraId="2A13090F">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2.9.1双方当事人协商一致，可以签订书面补充合同的形式变更合同，但不得违背采购文件确定的事项；</w:t>
      </w:r>
    </w:p>
    <w:p w14:paraId="44D6F1B7">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2.9.2合同继续履行将损害国家利益和社会公共利益的，双方当事人应当以书面形式变更合同。有过错的一方应当承担赔偿责任，双方当事人都有过错的，各自承担相应的责任。</w:t>
      </w:r>
      <w:bookmarkStart w:id="121" w:name="_Toc487900369"/>
      <w:bookmarkStart w:id="122" w:name="_Toc259093688"/>
      <w:bookmarkStart w:id="123" w:name="_Toc279701259"/>
    </w:p>
    <w:p w14:paraId="0DE270EB">
      <w:pPr>
        <w:spacing w:line="360" w:lineRule="auto"/>
        <w:ind w:firstLine="437"/>
        <w:outlineLvl w:val="3"/>
        <w:rPr>
          <w:rFonts w:hint="eastAsia" w:ascii="宋体" w:hAnsi="宋体" w:eastAsia="宋体" w:cs="宋体"/>
          <w:b/>
          <w:bCs/>
          <w:color w:val="auto"/>
          <w:szCs w:val="21"/>
          <w:highlight w:val="none"/>
          <w:lang w:val="zh-CN"/>
        </w:rPr>
      </w:pPr>
      <w:bookmarkStart w:id="124" w:name="_Toc15237"/>
      <w:bookmarkStart w:id="125" w:name="_Toc10366"/>
      <w:bookmarkStart w:id="126" w:name="_Toc22955"/>
      <w:r>
        <w:rPr>
          <w:rFonts w:hint="eastAsia" w:ascii="宋体" w:hAnsi="宋体" w:eastAsia="宋体" w:cs="宋体"/>
          <w:b/>
          <w:bCs/>
          <w:color w:val="auto"/>
          <w:szCs w:val="21"/>
          <w:highlight w:val="none"/>
          <w:lang w:val="zh-CN"/>
        </w:rPr>
        <w:t>2.10 合同转让</w:t>
      </w:r>
      <w:bookmarkEnd w:id="121"/>
      <w:bookmarkEnd w:id="122"/>
      <w:bookmarkEnd w:id="123"/>
      <w:r>
        <w:rPr>
          <w:rFonts w:hint="eastAsia" w:ascii="宋体" w:hAnsi="宋体" w:eastAsia="宋体" w:cs="宋体"/>
          <w:b/>
          <w:bCs/>
          <w:color w:val="auto"/>
          <w:szCs w:val="21"/>
          <w:highlight w:val="none"/>
          <w:lang w:val="zh-CN"/>
        </w:rPr>
        <w:t>和分包</w:t>
      </w:r>
      <w:bookmarkEnd w:id="124"/>
      <w:bookmarkEnd w:id="125"/>
      <w:bookmarkEnd w:id="126"/>
    </w:p>
    <w:p w14:paraId="287C69F4">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7FFCA63">
      <w:pPr>
        <w:spacing w:line="360" w:lineRule="auto"/>
        <w:ind w:firstLine="437"/>
        <w:outlineLvl w:val="3"/>
        <w:rPr>
          <w:rFonts w:hint="eastAsia" w:ascii="宋体" w:hAnsi="宋体" w:eastAsia="宋体" w:cs="宋体"/>
          <w:b/>
          <w:bCs/>
          <w:color w:val="auto"/>
          <w:szCs w:val="21"/>
          <w:highlight w:val="none"/>
          <w:lang w:val="zh-CN"/>
        </w:rPr>
      </w:pPr>
      <w:bookmarkStart w:id="127" w:name="_Toc14066"/>
      <w:bookmarkStart w:id="128" w:name="_Toc13566"/>
      <w:bookmarkStart w:id="129" w:name="_Toc16508"/>
      <w:r>
        <w:rPr>
          <w:rFonts w:hint="eastAsia" w:ascii="宋体" w:hAnsi="宋体" w:eastAsia="宋体" w:cs="宋体"/>
          <w:b/>
          <w:bCs/>
          <w:color w:val="auto"/>
          <w:szCs w:val="21"/>
          <w:highlight w:val="none"/>
          <w:lang w:val="zh-CN"/>
        </w:rPr>
        <w:t>2.11 不可抗力</w:t>
      </w:r>
      <w:bookmarkEnd w:id="127"/>
      <w:bookmarkEnd w:id="128"/>
      <w:bookmarkEnd w:id="129"/>
    </w:p>
    <w:p w14:paraId="3A3E2028">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2.11.1如果任何一方遭遇法律规定的不可抗力，致使合同履行受阻时，履行合同的期限应予延长，延长的期限应相当于不可抗力所影响的时间；</w:t>
      </w:r>
    </w:p>
    <w:p w14:paraId="5A0FCC7B">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2.11.2因不可抗力致使不能实现合同目的的，当事人可以解除合同；</w:t>
      </w:r>
    </w:p>
    <w:p w14:paraId="73E61839">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2.11.3因不可抗力致使合同有变更必要的，双方当事人应在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约定时间内以书面形式变更合同；</w:t>
      </w:r>
    </w:p>
    <w:p w14:paraId="434D5F88">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2.11.4受不可抗力影响的一方在不可抗力发生后，应在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约定时间内以书面形式通知对方当事人，并在</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约定时间内，将有关部门出具的证明文件送达对方当事人。</w:t>
      </w:r>
    </w:p>
    <w:p w14:paraId="67C0C567">
      <w:pPr>
        <w:spacing w:line="360" w:lineRule="auto"/>
        <w:ind w:firstLine="437"/>
        <w:outlineLvl w:val="3"/>
        <w:rPr>
          <w:rFonts w:hint="eastAsia" w:ascii="宋体" w:hAnsi="宋体" w:eastAsia="宋体" w:cs="宋体"/>
          <w:b/>
          <w:bCs/>
          <w:color w:val="auto"/>
          <w:szCs w:val="21"/>
          <w:highlight w:val="none"/>
          <w:lang w:val="zh-CN"/>
        </w:rPr>
      </w:pPr>
      <w:bookmarkStart w:id="130" w:name="_Toc279701255"/>
      <w:bookmarkStart w:id="131" w:name="_Toc30676"/>
      <w:bookmarkStart w:id="132" w:name="_Toc259093684"/>
      <w:bookmarkStart w:id="133" w:name="_Toc487900365"/>
      <w:bookmarkStart w:id="134" w:name="_Toc689"/>
      <w:bookmarkStart w:id="135" w:name="_Toc6969"/>
      <w:r>
        <w:rPr>
          <w:rFonts w:hint="eastAsia" w:ascii="宋体" w:hAnsi="宋体" w:eastAsia="宋体" w:cs="宋体"/>
          <w:b/>
          <w:bCs/>
          <w:color w:val="auto"/>
          <w:szCs w:val="21"/>
          <w:highlight w:val="none"/>
          <w:lang w:val="zh-CN"/>
        </w:rPr>
        <w:t>2.12 税费</w:t>
      </w:r>
      <w:bookmarkEnd w:id="130"/>
      <w:bookmarkEnd w:id="131"/>
      <w:bookmarkEnd w:id="132"/>
      <w:bookmarkEnd w:id="133"/>
      <w:bookmarkEnd w:id="134"/>
      <w:bookmarkEnd w:id="135"/>
    </w:p>
    <w:p w14:paraId="4D1F5BCA">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与合同有关的一切税费，均按照中华人民共和国法律的相关规定缴纳。</w:t>
      </w:r>
    </w:p>
    <w:p w14:paraId="782E2153">
      <w:pPr>
        <w:spacing w:line="360" w:lineRule="auto"/>
        <w:ind w:firstLine="437"/>
        <w:outlineLvl w:val="3"/>
        <w:rPr>
          <w:rFonts w:hint="eastAsia" w:ascii="宋体" w:hAnsi="宋体" w:eastAsia="宋体" w:cs="宋体"/>
          <w:b/>
          <w:bCs/>
          <w:color w:val="auto"/>
          <w:szCs w:val="21"/>
          <w:highlight w:val="none"/>
          <w:lang w:val="zh-CN"/>
        </w:rPr>
      </w:pPr>
      <w:bookmarkStart w:id="136" w:name="_Toc8298"/>
      <w:bookmarkStart w:id="137" w:name="_Toc487900368"/>
      <w:bookmarkStart w:id="138" w:name="_Toc16959"/>
      <w:bookmarkStart w:id="139" w:name="_Toc7102"/>
      <w:bookmarkStart w:id="140" w:name="_Toc279701258"/>
      <w:bookmarkStart w:id="141" w:name="_Toc259093687"/>
      <w:r>
        <w:rPr>
          <w:rFonts w:hint="eastAsia" w:ascii="宋体" w:hAnsi="宋体" w:eastAsia="宋体" w:cs="宋体"/>
          <w:b/>
          <w:bCs/>
          <w:color w:val="auto"/>
          <w:szCs w:val="21"/>
          <w:highlight w:val="none"/>
          <w:lang w:val="zh-CN"/>
        </w:rPr>
        <w:t>2.13 乙方破产</w:t>
      </w:r>
      <w:bookmarkEnd w:id="136"/>
      <w:bookmarkEnd w:id="137"/>
      <w:bookmarkEnd w:id="138"/>
      <w:bookmarkEnd w:id="139"/>
      <w:bookmarkEnd w:id="140"/>
      <w:bookmarkEnd w:id="141"/>
    </w:p>
    <w:p w14:paraId="4383678E">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7F106AB">
      <w:pPr>
        <w:spacing w:line="360" w:lineRule="auto"/>
        <w:ind w:firstLine="437"/>
        <w:outlineLvl w:val="3"/>
        <w:rPr>
          <w:rFonts w:hint="eastAsia" w:ascii="宋体" w:hAnsi="宋体" w:eastAsia="宋体" w:cs="宋体"/>
          <w:b/>
          <w:color w:val="auto"/>
          <w:szCs w:val="21"/>
          <w:highlight w:val="none"/>
        </w:rPr>
      </w:pPr>
      <w:bookmarkStart w:id="142" w:name="_Toc29333"/>
      <w:bookmarkStart w:id="143" w:name="_Toc6134"/>
      <w:bookmarkStart w:id="144" w:name="_Toc15387"/>
      <w:r>
        <w:rPr>
          <w:rFonts w:hint="eastAsia" w:ascii="宋体" w:hAnsi="宋体" w:eastAsia="宋体" w:cs="宋体"/>
          <w:b/>
          <w:bCs/>
          <w:color w:val="auto"/>
          <w:szCs w:val="21"/>
          <w:highlight w:val="none"/>
          <w:lang w:val="zh-CN"/>
        </w:rPr>
        <w:t>2.14 合同中止、终止</w:t>
      </w:r>
      <w:bookmarkEnd w:id="142"/>
      <w:bookmarkEnd w:id="143"/>
      <w:bookmarkEnd w:id="144"/>
    </w:p>
    <w:p w14:paraId="704D9B3B">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2.14.1双方当事人不得擅自中止或者终止合同；</w:t>
      </w:r>
    </w:p>
    <w:p w14:paraId="1554F49F">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2.14.2合同继续履行将损害国家利益和社会公共利益的，双方当事人应当中止或者终止合同。有过错的一方应当承担赔偿责任，双方当事人都有过错的，各自承担相应的责任。</w:t>
      </w:r>
    </w:p>
    <w:p w14:paraId="3B047493">
      <w:pPr>
        <w:spacing w:line="360" w:lineRule="auto"/>
        <w:ind w:firstLine="437"/>
        <w:outlineLvl w:val="3"/>
        <w:rPr>
          <w:rFonts w:hint="eastAsia" w:ascii="宋体" w:hAnsi="宋体" w:eastAsia="宋体" w:cs="宋体"/>
          <w:b/>
          <w:bCs/>
          <w:color w:val="auto"/>
          <w:szCs w:val="21"/>
          <w:highlight w:val="none"/>
          <w:lang w:val="zh-CN"/>
        </w:rPr>
      </w:pPr>
      <w:bookmarkStart w:id="145" w:name="_Toc1125"/>
      <w:bookmarkStart w:id="146" w:name="_Toc6596"/>
      <w:bookmarkStart w:id="147" w:name="_Toc14563"/>
      <w:r>
        <w:rPr>
          <w:rFonts w:hint="eastAsia" w:ascii="宋体" w:hAnsi="宋体" w:eastAsia="宋体" w:cs="宋体"/>
          <w:b/>
          <w:bCs/>
          <w:color w:val="auto"/>
          <w:szCs w:val="21"/>
          <w:highlight w:val="none"/>
          <w:lang w:val="zh-CN"/>
        </w:rPr>
        <w:t>2.15 检验和验收</w:t>
      </w:r>
      <w:bookmarkEnd w:id="145"/>
      <w:bookmarkEnd w:id="146"/>
      <w:bookmarkEnd w:id="147"/>
    </w:p>
    <w:p w14:paraId="04EDFBCC">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2.15.1乙方按照</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的约定，定期提交服务报告，甲方按照</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的约定进行定期验收；</w:t>
      </w:r>
    </w:p>
    <w:p w14:paraId="4DE19B8D">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5083F4EF">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2.15.3检验和验收标准、程序等具体内容以及前述验收书的效力详见</w:t>
      </w:r>
      <w:r>
        <w:rPr>
          <w:rFonts w:hint="eastAsia" w:ascii="宋体" w:hAnsi="宋体" w:eastAsia="宋体" w:cs="宋体"/>
          <w:b/>
          <w:i/>
          <w:color w:val="auto"/>
          <w:szCs w:val="21"/>
          <w:highlight w:val="none"/>
          <w:u w:val="single"/>
        </w:rPr>
        <w:t>合同专用条款</w:t>
      </w:r>
      <w:r>
        <w:rPr>
          <w:rFonts w:hint="eastAsia" w:ascii="宋体" w:hAnsi="宋体" w:eastAsia="宋体" w:cs="宋体"/>
          <w:i/>
          <w:color w:val="auto"/>
          <w:szCs w:val="21"/>
          <w:highlight w:val="none"/>
        </w:rPr>
        <w:t>。</w:t>
      </w:r>
    </w:p>
    <w:bookmarkEnd w:id="117"/>
    <w:bookmarkEnd w:id="118"/>
    <w:bookmarkEnd w:id="119"/>
    <w:bookmarkEnd w:id="120"/>
    <w:p w14:paraId="13E4AD30">
      <w:pPr>
        <w:spacing w:line="360" w:lineRule="auto"/>
        <w:ind w:firstLine="437"/>
        <w:outlineLvl w:val="3"/>
        <w:rPr>
          <w:rFonts w:hint="eastAsia" w:ascii="宋体" w:hAnsi="宋体" w:eastAsia="宋体" w:cs="宋体"/>
          <w:b/>
          <w:bCs/>
          <w:color w:val="auto"/>
          <w:szCs w:val="21"/>
          <w:highlight w:val="none"/>
        </w:rPr>
      </w:pPr>
      <w:bookmarkStart w:id="148" w:name="_Toc487900373"/>
      <w:bookmarkStart w:id="149" w:name="_Toc279701263"/>
      <w:bookmarkStart w:id="150" w:name="_Toc10330"/>
      <w:bookmarkStart w:id="151" w:name="_Toc18567"/>
      <w:bookmarkStart w:id="152" w:name="_Toc259093692"/>
      <w:bookmarkStart w:id="153" w:name="_Toc12773"/>
      <w:r>
        <w:rPr>
          <w:rFonts w:hint="eastAsia" w:ascii="宋体" w:hAnsi="宋体" w:eastAsia="宋体" w:cs="宋体"/>
          <w:b/>
          <w:bCs/>
          <w:color w:val="auto"/>
          <w:szCs w:val="21"/>
          <w:highlight w:val="none"/>
        </w:rPr>
        <w:t xml:space="preserve">2.16 </w:t>
      </w:r>
      <w:r>
        <w:rPr>
          <w:rFonts w:hint="eastAsia" w:ascii="宋体" w:hAnsi="宋体" w:eastAsia="宋体" w:cs="宋体"/>
          <w:b/>
          <w:bCs/>
          <w:color w:val="auto"/>
          <w:szCs w:val="21"/>
          <w:highlight w:val="none"/>
          <w:lang w:val="zh-CN"/>
        </w:rPr>
        <w:t>合同使用的文字和适用的法律</w:t>
      </w:r>
      <w:bookmarkEnd w:id="148"/>
      <w:bookmarkEnd w:id="149"/>
      <w:bookmarkEnd w:id="150"/>
      <w:bookmarkEnd w:id="151"/>
      <w:bookmarkEnd w:id="152"/>
      <w:bookmarkEnd w:id="153"/>
    </w:p>
    <w:p w14:paraId="6AEAE4E6">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2.16.1合同使用汉语进行书写、变更和解释；</w:t>
      </w:r>
    </w:p>
    <w:p w14:paraId="4D22681F">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2.16.2合同适用中华人民共和国法律。</w:t>
      </w:r>
    </w:p>
    <w:p w14:paraId="14787E34">
      <w:pPr>
        <w:spacing w:line="360" w:lineRule="auto"/>
        <w:ind w:firstLine="437"/>
        <w:outlineLvl w:val="3"/>
        <w:rPr>
          <w:rFonts w:hint="eastAsia" w:ascii="宋体" w:hAnsi="宋体" w:eastAsia="宋体" w:cs="宋体"/>
          <w:b/>
          <w:color w:val="auto"/>
          <w:szCs w:val="21"/>
          <w:highlight w:val="none"/>
        </w:rPr>
      </w:pPr>
      <w:bookmarkStart w:id="154" w:name="_Toc19890"/>
      <w:bookmarkStart w:id="155" w:name="_Toc14001"/>
      <w:bookmarkStart w:id="156" w:name="_Toc6885"/>
      <w:r>
        <w:rPr>
          <w:rFonts w:hint="eastAsia" w:ascii="宋体" w:hAnsi="宋体" w:eastAsia="宋体" w:cs="宋体"/>
          <w:b/>
          <w:bCs/>
          <w:color w:val="auto"/>
          <w:szCs w:val="21"/>
          <w:highlight w:val="none"/>
          <w:lang w:val="zh-CN"/>
        </w:rPr>
        <w:t>2.1</w:t>
      </w:r>
      <w:r>
        <w:rPr>
          <w:rFonts w:hint="eastAsia" w:ascii="宋体" w:hAnsi="宋体" w:eastAsia="宋体" w:cs="宋体"/>
          <w:b/>
          <w:bCs/>
          <w:color w:val="auto"/>
          <w:szCs w:val="21"/>
          <w:highlight w:val="none"/>
        </w:rPr>
        <w:t>7</w:t>
      </w:r>
      <w:r>
        <w:rPr>
          <w:rFonts w:hint="eastAsia" w:ascii="宋体" w:hAnsi="宋体" w:eastAsia="宋体" w:cs="宋体"/>
          <w:b/>
          <w:bCs/>
          <w:color w:val="auto"/>
          <w:szCs w:val="21"/>
          <w:highlight w:val="none"/>
          <w:lang w:val="zh-CN"/>
        </w:rPr>
        <w:t xml:space="preserve"> 合同份数</w:t>
      </w:r>
      <w:bookmarkEnd w:id="154"/>
      <w:bookmarkEnd w:id="155"/>
      <w:bookmarkEnd w:id="156"/>
    </w:p>
    <w:p w14:paraId="3AD1187A">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合同份数按</w:t>
      </w:r>
      <w:r>
        <w:rPr>
          <w:rFonts w:hint="eastAsia" w:ascii="宋体" w:hAnsi="宋体" w:eastAsia="宋体" w:cs="宋体"/>
          <w:b/>
          <w:i/>
          <w:color w:val="auto"/>
          <w:szCs w:val="21"/>
          <w:highlight w:val="none"/>
          <w:u w:val="single"/>
        </w:rPr>
        <w:t>合同专用条款</w:t>
      </w:r>
      <w:r>
        <w:rPr>
          <w:rFonts w:hint="eastAsia" w:ascii="宋体" w:hAnsi="宋体" w:eastAsia="宋体" w:cs="宋体"/>
          <w:color w:val="auto"/>
          <w:szCs w:val="21"/>
          <w:highlight w:val="none"/>
        </w:rPr>
        <w:t>规定，每份均具有同等法律效力。</w:t>
      </w:r>
    </w:p>
    <w:p w14:paraId="7CF4CBC2">
      <w:pPr>
        <w:spacing w:line="360" w:lineRule="auto"/>
        <w:jc w:val="center"/>
        <w:outlineLvl w:val="2"/>
        <w:rPr>
          <w:rFonts w:hint="eastAsia" w:ascii="宋体" w:hAnsi="宋体" w:eastAsia="宋体" w:cs="宋体"/>
          <w:b/>
          <w:color w:val="auto"/>
          <w:szCs w:val="21"/>
          <w:highlight w:val="none"/>
        </w:rPr>
      </w:pPr>
      <w:bookmarkStart w:id="157" w:name="_Toc331685784"/>
    </w:p>
    <w:p w14:paraId="722C484E">
      <w:pPr>
        <w:spacing w:line="360" w:lineRule="auto"/>
        <w:jc w:val="center"/>
        <w:outlineLvl w:val="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第三部分 合同专用条款</w:t>
      </w:r>
      <w:bookmarkEnd w:id="157"/>
    </w:p>
    <w:p w14:paraId="0D6F5D5A">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14:paraId="6738B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noWrap w:val="0"/>
            <w:vAlign w:val="center"/>
          </w:tcPr>
          <w:p w14:paraId="221D06DB">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7569" w:type="dxa"/>
            <w:noWrap w:val="0"/>
            <w:vAlign w:val="center"/>
          </w:tcPr>
          <w:p w14:paraId="2751932C">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约定内容</w:t>
            </w:r>
          </w:p>
        </w:tc>
      </w:tr>
      <w:tr w14:paraId="5A7EB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left w:val="single" w:color="auto" w:sz="4" w:space="0"/>
            </w:tcBorders>
            <w:noWrap w:val="0"/>
            <w:vAlign w:val="center"/>
          </w:tcPr>
          <w:p w14:paraId="4A09BFB1">
            <w:pPr>
              <w:spacing w:line="560" w:lineRule="exact"/>
              <w:rPr>
                <w:rFonts w:hint="eastAsia" w:ascii="宋体" w:hAnsi="宋体" w:eastAsia="宋体" w:cs="宋体"/>
                <w:color w:val="auto"/>
                <w:szCs w:val="21"/>
                <w:highlight w:val="none"/>
              </w:rPr>
            </w:pPr>
          </w:p>
        </w:tc>
        <w:tc>
          <w:tcPr>
            <w:tcW w:w="7569" w:type="dxa"/>
            <w:noWrap w:val="0"/>
            <w:vAlign w:val="center"/>
          </w:tcPr>
          <w:p w14:paraId="1AD9BA5A">
            <w:pPr>
              <w:spacing w:line="560" w:lineRule="exact"/>
              <w:rPr>
                <w:rFonts w:hint="eastAsia" w:ascii="宋体" w:hAnsi="宋体" w:eastAsia="宋体" w:cs="宋体"/>
                <w:color w:val="auto"/>
                <w:szCs w:val="21"/>
                <w:highlight w:val="none"/>
              </w:rPr>
            </w:pPr>
          </w:p>
        </w:tc>
      </w:tr>
      <w:tr w14:paraId="45E61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1B629A2F">
            <w:pPr>
              <w:spacing w:line="560" w:lineRule="exact"/>
              <w:rPr>
                <w:rFonts w:hint="eastAsia" w:ascii="宋体" w:hAnsi="宋体" w:eastAsia="宋体" w:cs="宋体"/>
                <w:color w:val="auto"/>
                <w:szCs w:val="21"/>
                <w:highlight w:val="none"/>
              </w:rPr>
            </w:pPr>
          </w:p>
        </w:tc>
        <w:tc>
          <w:tcPr>
            <w:tcW w:w="7569" w:type="dxa"/>
            <w:noWrap w:val="0"/>
            <w:vAlign w:val="center"/>
          </w:tcPr>
          <w:p w14:paraId="28883BE4">
            <w:pPr>
              <w:spacing w:line="560" w:lineRule="exact"/>
              <w:rPr>
                <w:rFonts w:hint="eastAsia" w:ascii="宋体" w:hAnsi="宋体" w:eastAsia="宋体" w:cs="宋体"/>
                <w:color w:val="auto"/>
                <w:szCs w:val="21"/>
                <w:highlight w:val="none"/>
              </w:rPr>
            </w:pPr>
          </w:p>
        </w:tc>
      </w:tr>
      <w:tr w14:paraId="54375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37D6A815">
            <w:pPr>
              <w:spacing w:line="560" w:lineRule="exact"/>
              <w:rPr>
                <w:rFonts w:hint="eastAsia" w:ascii="宋体" w:hAnsi="宋体" w:eastAsia="宋体" w:cs="宋体"/>
                <w:color w:val="auto"/>
                <w:szCs w:val="21"/>
                <w:highlight w:val="none"/>
              </w:rPr>
            </w:pPr>
          </w:p>
        </w:tc>
        <w:tc>
          <w:tcPr>
            <w:tcW w:w="7569" w:type="dxa"/>
            <w:noWrap w:val="0"/>
            <w:vAlign w:val="center"/>
          </w:tcPr>
          <w:p w14:paraId="21AE918E">
            <w:pPr>
              <w:spacing w:line="560" w:lineRule="exact"/>
              <w:rPr>
                <w:rFonts w:hint="eastAsia" w:ascii="宋体" w:hAnsi="宋体" w:eastAsia="宋体" w:cs="宋体"/>
                <w:color w:val="auto"/>
                <w:szCs w:val="21"/>
                <w:highlight w:val="none"/>
              </w:rPr>
            </w:pPr>
          </w:p>
        </w:tc>
      </w:tr>
      <w:tr w14:paraId="6AF89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097E20B6">
            <w:pPr>
              <w:spacing w:line="560" w:lineRule="exact"/>
              <w:rPr>
                <w:rFonts w:hint="eastAsia" w:ascii="宋体" w:hAnsi="宋体" w:eastAsia="宋体" w:cs="宋体"/>
                <w:color w:val="auto"/>
                <w:szCs w:val="21"/>
                <w:highlight w:val="none"/>
              </w:rPr>
            </w:pPr>
          </w:p>
        </w:tc>
        <w:tc>
          <w:tcPr>
            <w:tcW w:w="7569" w:type="dxa"/>
            <w:noWrap w:val="0"/>
            <w:vAlign w:val="center"/>
          </w:tcPr>
          <w:p w14:paraId="072EA74E">
            <w:pPr>
              <w:spacing w:line="560" w:lineRule="exact"/>
              <w:rPr>
                <w:rFonts w:hint="eastAsia" w:ascii="宋体" w:hAnsi="宋体" w:eastAsia="宋体" w:cs="宋体"/>
                <w:color w:val="auto"/>
                <w:szCs w:val="21"/>
                <w:highlight w:val="none"/>
              </w:rPr>
            </w:pPr>
          </w:p>
        </w:tc>
      </w:tr>
      <w:tr w14:paraId="296A8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25E520CA">
            <w:pPr>
              <w:spacing w:line="560" w:lineRule="exact"/>
              <w:rPr>
                <w:rFonts w:hint="eastAsia" w:ascii="宋体" w:hAnsi="宋体" w:eastAsia="宋体" w:cs="宋体"/>
                <w:color w:val="auto"/>
                <w:szCs w:val="21"/>
                <w:highlight w:val="none"/>
              </w:rPr>
            </w:pPr>
          </w:p>
        </w:tc>
        <w:tc>
          <w:tcPr>
            <w:tcW w:w="7569" w:type="dxa"/>
            <w:noWrap w:val="0"/>
            <w:vAlign w:val="center"/>
          </w:tcPr>
          <w:p w14:paraId="6BD7D14C">
            <w:pPr>
              <w:spacing w:line="560" w:lineRule="exact"/>
              <w:rPr>
                <w:rFonts w:hint="eastAsia" w:ascii="宋体" w:hAnsi="宋体" w:eastAsia="宋体" w:cs="宋体"/>
                <w:color w:val="auto"/>
                <w:szCs w:val="21"/>
                <w:highlight w:val="none"/>
                <w:u w:val="single"/>
              </w:rPr>
            </w:pPr>
          </w:p>
        </w:tc>
      </w:tr>
      <w:tr w14:paraId="73853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6A4C13AA">
            <w:pPr>
              <w:spacing w:line="560" w:lineRule="exact"/>
              <w:rPr>
                <w:rFonts w:hint="eastAsia" w:ascii="宋体" w:hAnsi="宋体" w:eastAsia="宋体" w:cs="宋体"/>
                <w:color w:val="auto"/>
                <w:szCs w:val="21"/>
                <w:highlight w:val="none"/>
              </w:rPr>
            </w:pPr>
          </w:p>
        </w:tc>
        <w:tc>
          <w:tcPr>
            <w:tcW w:w="7569" w:type="dxa"/>
            <w:noWrap w:val="0"/>
            <w:vAlign w:val="center"/>
          </w:tcPr>
          <w:p w14:paraId="0C76738F">
            <w:pPr>
              <w:spacing w:line="560" w:lineRule="exact"/>
              <w:rPr>
                <w:rFonts w:hint="eastAsia" w:ascii="宋体" w:hAnsi="宋体" w:eastAsia="宋体" w:cs="宋体"/>
                <w:color w:val="auto"/>
                <w:szCs w:val="21"/>
                <w:highlight w:val="none"/>
              </w:rPr>
            </w:pPr>
          </w:p>
        </w:tc>
      </w:tr>
      <w:tr w14:paraId="21EE8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14:paraId="198A0A70">
            <w:pPr>
              <w:spacing w:line="560" w:lineRule="exact"/>
              <w:rPr>
                <w:rFonts w:hint="eastAsia" w:ascii="宋体" w:hAnsi="宋体" w:eastAsia="宋体" w:cs="宋体"/>
                <w:color w:val="auto"/>
                <w:szCs w:val="21"/>
                <w:highlight w:val="none"/>
              </w:rPr>
            </w:pPr>
          </w:p>
        </w:tc>
        <w:tc>
          <w:tcPr>
            <w:tcW w:w="7569" w:type="dxa"/>
            <w:noWrap w:val="0"/>
            <w:vAlign w:val="center"/>
          </w:tcPr>
          <w:p w14:paraId="43F8DC1B">
            <w:pPr>
              <w:spacing w:line="560" w:lineRule="exact"/>
              <w:rPr>
                <w:rFonts w:hint="eastAsia" w:ascii="宋体" w:hAnsi="宋体" w:eastAsia="宋体" w:cs="宋体"/>
                <w:color w:val="auto"/>
                <w:szCs w:val="21"/>
                <w:highlight w:val="none"/>
                <w:u w:val="single"/>
              </w:rPr>
            </w:pPr>
          </w:p>
        </w:tc>
      </w:tr>
      <w:tr w14:paraId="4323B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7E5EAE15">
            <w:pPr>
              <w:spacing w:line="560" w:lineRule="exact"/>
              <w:rPr>
                <w:rFonts w:hint="eastAsia" w:ascii="宋体" w:hAnsi="宋体" w:eastAsia="宋体" w:cs="宋体"/>
                <w:color w:val="auto"/>
                <w:szCs w:val="21"/>
                <w:highlight w:val="none"/>
              </w:rPr>
            </w:pPr>
          </w:p>
        </w:tc>
        <w:tc>
          <w:tcPr>
            <w:tcW w:w="7569" w:type="dxa"/>
            <w:noWrap w:val="0"/>
            <w:vAlign w:val="center"/>
          </w:tcPr>
          <w:p w14:paraId="1AC0CAEC">
            <w:pPr>
              <w:spacing w:line="560" w:lineRule="exact"/>
              <w:rPr>
                <w:rFonts w:hint="eastAsia" w:ascii="宋体" w:hAnsi="宋体" w:eastAsia="宋体" w:cs="宋体"/>
                <w:color w:val="auto"/>
                <w:szCs w:val="21"/>
                <w:highlight w:val="none"/>
              </w:rPr>
            </w:pPr>
          </w:p>
        </w:tc>
      </w:tr>
      <w:tr w14:paraId="04B22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28373C99">
            <w:pPr>
              <w:spacing w:line="560" w:lineRule="exact"/>
              <w:rPr>
                <w:rFonts w:hint="eastAsia" w:ascii="宋体" w:hAnsi="宋体" w:eastAsia="宋体" w:cs="宋体"/>
                <w:color w:val="auto"/>
                <w:szCs w:val="21"/>
                <w:highlight w:val="none"/>
              </w:rPr>
            </w:pPr>
          </w:p>
        </w:tc>
        <w:tc>
          <w:tcPr>
            <w:tcW w:w="7569" w:type="dxa"/>
            <w:noWrap w:val="0"/>
            <w:vAlign w:val="center"/>
          </w:tcPr>
          <w:p w14:paraId="2D1122B3">
            <w:pPr>
              <w:spacing w:line="560" w:lineRule="exact"/>
              <w:rPr>
                <w:rFonts w:hint="eastAsia" w:ascii="宋体" w:hAnsi="宋体" w:eastAsia="宋体" w:cs="宋体"/>
                <w:color w:val="auto"/>
                <w:szCs w:val="21"/>
                <w:highlight w:val="none"/>
              </w:rPr>
            </w:pPr>
          </w:p>
        </w:tc>
      </w:tr>
      <w:tr w14:paraId="51698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14:paraId="7AC38E44">
            <w:pPr>
              <w:spacing w:line="560" w:lineRule="exact"/>
              <w:rPr>
                <w:rFonts w:hint="eastAsia" w:ascii="宋体" w:hAnsi="宋体" w:eastAsia="宋体" w:cs="宋体"/>
                <w:color w:val="auto"/>
                <w:szCs w:val="21"/>
                <w:highlight w:val="none"/>
              </w:rPr>
            </w:pPr>
          </w:p>
        </w:tc>
        <w:tc>
          <w:tcPr>
            <w:tcW w:w="7569" w:type="dxa"/>
            <w:noWrap w:val="0"/>
            <w:vAlign w:val="center"/>
          </w:tcPr>
          <w:p w14:paraId="4F6E08F3">
            <w:pPr>
              <w:spacing w:line="560" w:lineRule="exact"/>
              <w:rPr>
                <w:rFonts w:hint="eastAsia" w:ascii="宋体" w:hAnsi="宋体" w:eastAsia="宋体" w:cs="宋体"/>
                <w:color w:val="auto"/>
                <w:szCs w:val="21"/>
                <w:highlight w:val="none"/>
              </w:rPr>
            </w:pPr>
          </w:p>
        </w:tc>
      </w:tr>
      <w:tr w14:paraId="7888B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360559A9">
            <w:pPr>
              <w:spacing w:line="560" w:lineRule="exact"/>
              <w:rPr>
                <w:rFonts w:hint="eastAsia" w:ascii="宋体" w:hAnsi="宋体" w:eastAsia="宋体" w:cs="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6B71F466">
            <w:pPr>
              <w:spacing w:line="560" w:lineRule="exact"/>
              <w:rPr>
                <w:rFonts w:hint="eastAsia" w:ascii="宋体" w:hAnsi="宋体" w:eastAsia="宋体" w:cs="宋体"/>
                <w:color w:val="auto"/>
                <w:szCs w:val="21"/>
                <w:highlight w:val="none"/>
              </w:rPr>
            </w:pPr>
          </w:p>
        </w:tc>
      </w:tr>
      <w:tr w14:paraId="2C2DE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14:paraId="0A78F042">
            <w:pPr>
              <w:spacing w:line="560" w:lineRule="exact"/>
              <w:rPr>
                <w:rFonts w:hint="eastAsia" w:ascii="宋体" w:hAnsi="宋体" w:eastAsia="宋体" w:cs="宋体"/>
                <w:color w:val="auto"/>
                <w:szCs w:val="21"/>
                <w:highlight w:val="none"/>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14:paraId="1C102625">
            <w:pPr>
              <w:spacing w:line="560" w:lineRule="exact"/>
              <w:rPr>
                <w:rFonts w:hint="eastAsia" w:ascii="宋体" w:hAnsi="宋体" w:eastAsia="宋体" w:cs="宋体"/>
                <w:color w:val="auto"/>
                <w:szCs w:val="21"/>
                <w:highlight w:val="none"/>
              </w:rPr>
            </w:pPr>
          </w:p>
        </w:tc>
      </w:tr>
    </w:tbl>
    <w:p w14:paraId="75D657B0">
      <w:pPr>
        <w:spacing w:line="167" w:lineRule="exact"/>
        <w:rPr>
          <w:rFonts w:hint="eastAsia" w:ascii="宋体" w:hAnsi="宋体" w:eastAsia="宋体" w:cs="宋体"/>
          <w:color w:val="auto"/>
          <w:sz w:val="14"/>
          <w:highlight w:val="none"/>
        </w:rPr>
      </w:pPr>
    </w:p>
    <w:p w14:paraId="147B32F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color w:val="auto"/>
          <w:sz w:val="24"/>
          <w:szCs w:val="24"/>
          <w:highlight w:val="none"/>
        </w:rPr>
      </w:pPr>
    </w:p>
    <w:bookmarkEnd w:id="23"/>
    <w:p w14:paraId="0AD13708">
      <w:pPr>
        <w:spacing w:line="360" w:lineRule="auto"/>
        <w:jc w:val="center"/>
        <w:outlineLvl w:val="0"/>
        <w:rPr>
          <w:rFonts w:hint="eastAsia" w:ascii="宋体" w:hAnsi="宋体" w:eastAsia="宋体" w:cs="宋体"/>
          <w:b/>
          <w:color w:val="auto"/>
          <w:sz w:val="28"/>
          <w:highlight w:val="none"/>
        </w:rPr>
      </w:pPr>
      <w:bookmarkStart w:id="158" w:name="_Toc22492"/>
    </w:p>
    <w:p w14:paraId="0C61C630">
      <w:pPr>
        <w:spacing w:line="360" w:lineRule="auto"/>
        <w:jc w:val="center"/>
        <w:outlineLvl w:val="0"/>
        <w:rPr>
          <w:rFonts w:hint="eastAsia" w:ascii="宋体" w:hAnsi="宋体" w:eastAsia="宋体" w:cs="宋体"/>
          <w:b/>
          <w:color w:val="auto"/>
          <w:sz w:val="28"/>
          <w:highlight w:val="none"/>
        </w:rPr>
      </w:pPr>
    </w:p>
    <w:p w14:paraId="7A5CD8C8">
      <w:pPr>
        <w:spacing w:line="360" w:lineRule="auto"/>
        <w:jc w:val="center"/>
        <w:outlineLvl w:val="0"/>
        <w:rPr>
          <w:rFonts w:hint="eastAsia" w:ascii="宋体" w:hAnsi="宋体" w:eastAsia="宋体" w:cs="宋体"/>
          <w:b/>
          <w:color w:val="auto"/>
          <w:sz w:val="28"/>
          <w:highlight w:val="none"/>
        </w:rPr>
      </w:pPr>
    </w:p>
    <w:p w14:paraId="3CF68F19">
      <w:pPr>
        <w:spacing w:line="360" w:lineRule="auto"/>
        <w:jc w:val="center"/>
        <w:outlineLvl w:val="0"/>
        <w:rPr>
          <w:rFonts w:hint="eastAsia" w:ascii="宋体" w:hAnsi="宋体" w:eastAsia="宋体" w:cs="宋体"/>
          <w:b/>
          <w:color w:val="auto"/>
          <w:sz w:val="28"/>
          <w:highlight w:val="none"/>
        </w:rPr>
      </w:pPr>
    </w:p>
    <w:p w14:paraId="5105729D">
      <w:pPr>
        <w:spacing w:line="360" w:lineRule="auto"/>
        <w:jc w:val="center"/>
        <w:outlineLvl w:val="0"/>
        <w:rPr>
          <w:rFonts w:hint="eastAsia" w:ascii="宋体" w:hAnsi="宋体" w:eastAsia="宋体" w:cs="宋体"/>
          <w:b/>
          <w:color w:val="auto"/>
          <w:sz w:val="28"/>
          <w:highlight w:val="none"/>
        </w:rPr>
      </w:pPr>
    </w:p>
    <w:p w14:paraId="72CF0FDC">
      <w:pPr>
        <w:spacing w:line="360" w:lineRule="auto"/>
        <w:jc w:val="center"/>
        <w:outlineLvl w:val="0"/>
        <w:rPr>
          <w:rFonts w:hint="eastAsia" w:ascii="宋体" w:hAnsi="宋体" w:eastAsia="宋体" w:cs="宋体"/>
          <w:b/>
          <w:color w:val="auto"/>
          <w:sz w:val="28"/>
          <w:highlight w:val="none"/>
        </w:rPr>
      </w:pPr>
    </w:p>
    <w:p w14:paraId="1CEB5592">
      <w:pPr>
        <w:spacing w:line="360" w:lineRule="auto"/>
        <w:jc w:val="center"/>
        <w:outlineLvl w:val="0"/>
        <w:rPr>
          <w:rFonts w:hint="eastAsia" w:ascii="宋体" w:hAnsi="宋体" w:eastAsia="宋体" w:cs="宋体"/>
          <w:b/>
          <w:color w:val="auto"/>
          <w:sz w:val="28"/>
          <w:highlight w:val="none"/>
        </w:rPr>
      </w:pPr>
    </w:p>
    <w:p w14:paraId="420917F3">
      <w:pPr>
        <w:spacing w:line="360" w:lineRule="auto"/>
        <w:jc w:val="center"/>
        <w:outlineLvl w:val="0"/>
        <w:rPr>
          <w:rFonts w:hint="eastAsia" w:ascii="宋体" w:hAnsi="宋体" w:eastAsia="宋体" w:cs="宋体"/>
          <w:b/>
          <w:color w:val="auto"/>
          <w:sz w:val="28"/>
          <w:highlight w:val="none"/>
        </w:rPr>
      </w:pPr>
    </w:p>
    <w:p w14:paraId="1686C152">
      <w:pPr>
        <w:spacing w:line="360" w:lineRule="auto"/>
        <w:jc w:val="center"/>
        <w:outlineLvl w:val="0"/>
        <w:rPr>
          <w:rFonts w:hint="eastAsia" w:ascii="宋体" w:hAnsi="宋体" w:eastAsia="宋体" w:cs="宋体"/>
          <w:b/>
          <w:color w:val="auto"/>
          <w:sz w:val="28"/>
          <w:highlight w:val="none"/>
        </w:rPr>
      </w:pPr>
    </w:p>
    <w:p w14:paraId="44158D01">
      <w:pPr>
        <w:spacing w:line="360" w:lineRule="auto"/>
        <w:jc w:val="center"/>
        <w:outlineLvl w:val="0"/>
        <w:rPr>
          <w:rFonts w:hint="eastAsia" w:ascii="宋体" w:hAnsi="宋体" w:eastAsia="宋体" w:cs="宋体"/>
          <w:b/>
          <w:color w:val="auto"/>
          <w:sz w:val="28"/>
          <w:highlight w:val="none"/>
        </w:rPr>
      </w:pPr>
    </w:p>
    <w:p w14:paraId="2E656BEB">
      <w:pPr>
        <w:spacing w:line="360" w:lineRule="auto"/>
        <w:jc w:val="center"/>
        <w:outlineLvl w:val="0"/>
        <w:rPr>
          <w:rFonts w:hint="eastAsia" w:ascii="宋体" w:hAnsi="宋体" w:eastAsia="宋体" w:cs="宋体"/>
          <w:b/>
          <w:color w:val="auto"/>
          <w:sz w:val="28"/>
          <w:highlight w:val="none"/>
        </w:rPr>
      </w:pPr>
    </w:p>
    <w:p w14:paraId="1948C643">
      <w:pPr>
        <w:spacing w:line="360" w:lineRule="auto"/>
        <w:jc w:val="center"/>
        <w:outlineLvl w:val="0"/>
        <w:rPr>
          <w:rFonts w:hint="eastAsia" w:ascii="宋体" w:hAnsi="宋体" w:eastAsia="宋体" w:cs="宋体"/>
          <w:b/>
          <w:color w:val="auto"/>
          <w:sz w:val="28"/>
          <w:highlight w:val="none"/>
        </w:rPr>
      </w:pPr>
    </w:p>
    <w:p w14:paraId="26820FA4">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158"/>
    </w:p>
    <w:p w14:paraId="6F01D733">
      <w:pPr>
        <w:spacing w:line="900" w:lineRule="exact"/>
        <w:jc w:val="center"/>
        <w:rPr>
          <w:rFonts w:hint="eastAsia" w:ascii="宋体" w:hAnsi="宋体" w:eastAsia="宋体" w:cs="宋体"/>
          <w:b/>
          <w:color w:val="auto"/>
          <w:sz w:val="72"/>
          <w:highlight w:val="none"/>
        </w:rPr>
      </w:pPr>
    </w:p>
    <w:p w14:paraId="38543885">
      <w:pPr>
        <w:spacing w:line="900" w:lineRule="exact"/>
        <w:jc w:val="center"/>
        <w:outlineLvl w:val="1"/>
        <w:rPr>
          <w:rFonts w:hint="eastAsia" w:ascii="宋体" w:hAnsi="宋体" w:eastAsia="宋体" w:cs="宋体"/>
          <w:b/>
          <w:color w:val="auto"/>
          <w:sz w:val="72"/>
          <w:highlight w:val="none"/>
        </w:rPr>
      </w:pPr>
      <w:bookmarkStart w:id="159" w:name="_Toc651"/>
      <w:r>
        <w:rPr>
          <w:rFonts w:hint="eastAsia" w:ascii="宋体" w:hAnsi="宋体" w:eastAsia="宋体" w:cs="宋体"/>
          <w:b/>
          <w:color w:val="auto"/>
          <w:sz w:val="72"/>
          <w:highlight w:val="none"/>
        </w:rPr>
        <w:t>投</w:t>
      </w:r>
      <w:bookmarkEnd w:id="159"/>
    </w:p>
    <w:p w14:paraId="556CBF89">
      <w:pPr>
        <w:spacing w:line="900" w:lineRule="exact"/>
        <w:jc w:val="center"/>
        <w:rPr>
          <w:rFonts w:hint="eastAsia" w:ascii="宋体" w:hAnsi="宋体" w:eastAsia="宋体" w:cs="宋体"/>
          <w:b/>
          <w:color w:val="auto"/>
          <w:sz w:val="72"/>
          <w:highlight w:val="none"/>
        </w:rPr>
      </w:pPr>
    </w:p>
    <w:p w14:paraId="7B32B97A">
      <w:pPr>
        <w:spacing w:line="900" w:lineRule="exact"/>
        <w:jc w:val="center"/>
        <w:outlineLvl w:val="1"/>
        <w:rPr>
          <w:rFonts w:hint="eastAsia" w:ascii="宋体" w:hAnsi="宋体" w:eastAsia="宋体" w:cs="宋体"/>
          <w:b/>
          <w:color w:val="auto"/>
          <w:sz w:val="72"/>
          <w:highlight w:val="none"/>
        </w:rPr>
      </w:pPr>
      <w:bookmarkStart w:id="160" w:name="_Toc6148"/>
      <w:r>
        <w:rPr>
          <w:rFonts w:hint="eastAsia" w:ascii="宋体" w:hAnsi="宋体" w:eastAsia="宋体" w:cs="宋体"/>
          <w:b/>
          <w:color w:val="auto"/>
          <w:sz w:val="72"/>
          <w:highlight w:val="none"/>
        </w:rPr>
        <w:t>标</w:t>
      </w:r>
      <w:bookmarkEnd w:id="160"/>
    </w:p>
    <w:p w14:paraId="1FDDE5F7">
      <w:pPr>
        <w:spacing w:line="900" w:lineRule="exact"/>
        <w:jc w:val="center"/>
        <w:rPr>
          <w:rFonts w:hint="eastAsia" w:ascii="宋体" w:hAnsi="宋体" w:eastAsia="宋体" w:cs="宋体"/>
          <w:b/>
          <w:color w:val="auto"/>
          <w:sz w:val="72"/>
          <w:highlight w:val="none"/>
        </w:rPr>
      </w:pPr>
    </w:p>
    <w:p w14:paraId="5B42200E">
      <w:pPr>
        <w:spacing w:line="900" w:lineRule="exact"/>
        <w:jc w:val="center"/>
        <w:outlineLvl w:val="1"/>
        <w:rPr>
          <w:rFonts w:hint="eastAsia" w:ascii="宋体" w:hAnsi="宋体" w:eastAsia="宋体" w:cs="宋体"/>
          <w:b/>
          <w:color w:val="auto"/>
          <w:sz w:val="72"/>
          <w:highlight w:val="none"/>
        </w:rPr>
      </w:pPr>
      <w:bookmarkStart w:id="161" w:name="_Toc1338"/>
      <w:r>
        <w:rPr>
          <w:rFonts w:hint="eastAsia" w:ascii="宋体" w:hAnsi="宋体" w:eastAsia="宋体" w:cs="宋体"/>
          <w:b/>
          <w:color w:val="auto"/>
          <w:sz w:val="72"/>
          <w:highlight w:val="none"/>
        </w:rPr>
        <w:t>文</w:t>
      </w:r>
      <w:bookmarkEnd w:id="161"/>
    </w:p>
    <w:p w14:paraId="0FB205A1">
      <w:pPr>
        <w:spacing w:line="900" w:lineRule="exact"/>
        <w:jc w:val="center"/>
        <w:rPr>
          <w:rFonts w:hint="eastAsia" w:ascii="宋体" w:hAnsi="宋体" w:eastAsia="宋体" w:cs="宋体"/>
          <w:b/>
          <w:color w:val="auto"/>
          <w:sz w:val="72"/>
          <w:highlight w:val="none"/>
        </w:rPr>
      </w:pPr>
    </w:p>
    <w:p w14:paraId="6F4188FE">
      <w:pPr>
        <w:jc w:val="center"/>
        <w:outlineLvl w:val="1"/>
        <w:rPr>
          <w:rFonts w:hint="eastAsia" w:ascii="宋体" w:hAnsi="宋体" w:eastAsia="宋体" w:cs="宋体"/>
          <w:b/>
          <w:color w:val="auto"/>
          <w:sz w:val="72"/>
          <w:highlight w:val="none"/>
        </w:rPr>
      </w:pPr>
      <w:bookmarkStart w:id="162" w:name="_Toc10796"/>
      <w:r>
        <w:rPr>
          <w:rFonts w:hint="eastAsia" w:ascii="宋体" w:hAnsi="宋体" w:eastAsia="宋体" w:cs="宋体"/>
          <w:b/>
          <w:color w:val="auto"/>
          <w:sz w:val="72"/>
          <w:highlight w:val="none"/>
        </w:rPr>
        <w:t>件</w:t>
      </w:r>
      <w:bookmarkEnd w:id="162"/>
    </w:p>
    <w:p w14:paraId="7F796F65">
      <w:pPr>
        <w:spacing w:after="156" w:afterLines="50" w:line="500" w:lineRule="exact"/>
        <w:jc w:val="center"/>
        <w:rPr>
          <w:rFonts w:hint="eastAsia" w:ascii="宋体" w:hAnsi="宋体" w:eastAsia="宋体" w:cs="宋体"/>
          <w:b/>
          <w:color w:val="auto"/>
          <w:sz w:val="28"/>
          <w:szCs w:val="28"/>
          <w:highlight w:val="none"/>
        </w:rPr>
      </w:pPr>
    </w:p>
    <w:p w14:paraId="61271EB9">
      <w:pPr>
        <w:pStyle w:val="3"/>
        <w:rPr>
          <w:rFonts w:hint="eastAsia" w:ascii="宋体" w:hAnsi="宋体" w:eastAsia="宋体" w:cs="宋体"/>
          <w:color w:val="auto"/>
          <w:highlight w:val="none"/>
        </w:rPr>
      </w:pPr>
    </w:p>
    <w:p w14:paraId="57A235C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62BDD6C">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510C159">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2D23044C">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bookmarkStart w:id="163" w:name="_Toc9994"/>
      <w:bookmarkStart w:id="164" w:name="_Toc8037"/>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rPr>
        <w:t>日</w:t>
      </w:r>
      <w:bookmarkEnd w:id="163"/>
      <w:bookmarkEnd w:id="164"/>
    </w:p>
    <w:p w14:paraId="7EB7087D">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6072E310">
      <w:pPr>
        <w:widowControl/>
        <w:jc w:val="center"/>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lang w:val="en-US" w:eastAsia="zh-CN"/>
        </w:rPr>
        <w:t>目录</w:t>
      </w:r>
    </w:p>
    <w:p w14:paraId="38D836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3C215242">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（2）供应商须具有有效的营业执照、税务登记证、组织机构代码证（或三证合一的证书）；</w:t>
      </w:r>
    </w:p>
    <w:p w14:paraId="121B21C2">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业绩证明材料</w:t>
      </w:r>
      <w:r>
        <w:rPr>
          <w:rFonts w:hint="eastAsia" w:ascii="宋体" w:hAnsi="宋体" w:eastAsia="宋体" w:cs="宋体"/>
          <w:color w:val="auto"/>
          <w:sz w:val="24"/>
          <w:highlight w:val="none"/>
          <w:lang w:val="en-US" w:eastAsia="zh-CN"/>
        </w:rPr>
        <w:t>；</w:t>
      </w:r>
    </w:p>
    <w:p w14:paraId="4AF0FFFA">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（4）供应商资格声明书（格式见附件）</w:t>
      </w:r>
    </w:p>
    <w:p w14:paraId="50783036">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（5）诚信履约承诺函（格式见附件）</w:t>
      </w:r>
    </w:p>
    <w:p w14:paraId="2F4B8E07">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（6）开标一览表（格式见附件）；</w:t>
      </w:r>
    </w:p>
    <w:p w14:paraId="48DFCBE9">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（7）投标函（格式见附件）；</w:t>
      </w:r>
    </w:p>
    <w:p w14:paraId="769950CD">
      <w:pPr>
        <w:spacing w:line="360" w:lineRule="auto"/>
        <w:ind w:firstLine="435"/>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（8）投标人认为需要提供的其他评审及证明材料</w:t>
      </w:r>
    </w:p>
    <w:p w14:paraId="7FBBA626">
      <w:pPr>
        <w:spacing w:line="360" w:lineRule="auto"/>
        <w:ind w:firstLine="435"/>
        <w:rPr>
          <w:rFonts w:hint="eastAsia" w:ascii="宋体" w:hAnsi="宋体" w:eastAsia="宋体" w:cs="宋体"/>
          <w:color w:val="auto"/>
          <w:sz w:val="24"/>
          <w:highlight w:val="none"/>
          <w:lang w:val="en-US" w:eastAsia="zh-CN"/>
        </w:rPr>
      </w:pPr>
    </w:p>
    <w:p w14:paraId="43242718">
      <w:pPr>
        <w:spacing w:line="360" w:lineRule="auto"/>
        <w:ind w:firstLine="435"/>
        <w:rPr>
          <w:rFonts w:hint="eastAsia" w:ascii="宋体" w:hAnsi="宋体" w:eastAsia="宋体" w:cs="宋体"/>
          <w:color w:val="auto"/>
          <w:sz w:val="24"/>
          <w:highlight w:val="none"/>
          <w:lang w:val="en-US" w:eastAsia="zh-CN"/>
        </w:rPr>
      </w:pPr>
    </w:p>
    <w:p w14:paraId="5A5AF1F6">
      <w:pPr>
        <w:spacing w:line="360" w:lineRule="auto"/>
        <w:ind w:firstLine="435"/>
        <w:rPr>
          <w:rFonts w:hint="eastAsia" w:ascii="宋体" w:hAnsi="宋体" w:eastAsia="宋体" w:cs="宋体"/>
          <w:color w:val="auto"/>
          <w:sz w:val="24"/>
          <w:highlight w:val="none"/>
          <w:lang w:val="en-US" w:eastAsia="zh-CN"/>
        </w:rPr>
      </w:pPr>
    </w:p>
    <w:p w14:paraId="18962569">
      <w:pPr>
        <w:spacing w:line="360" w:lineRule="auto"/>
        <w:ind w:firstLine="435"/>
        <w:rPr>
          <w:rFonts w:hint="eastAsia" w:ascii="宋体" w:hAnsi="宋体" w:eastAsia="宋体" w:cs="宋体"/>
          <w:color w:val="auto"/>
          <w:sz w:val="24"/>
          <w:highlight w:val="none"/>
          <w:lang w:val="en-US" w:eastAsia="zh-CN"/>
        </w:rPr>
      </w:pPr>
    </w:p>
    <w:p w14:paraId="52E790FC">
      <w:pPr>
        <w:spacing w:line="360" w:lineRule="auto"/>
        <w:ind w:firstLine="435"/>
        <w:rPr>
          <w:rFonts w:hint="eastAsia" w:ascii="宋体" w:hAnsi="宋体" w:eastAsia="宋体" w:cs="宋体"/>
          <w:color w:val="auto"/>
          <w:sz w:val="24"/>
          <w:highlight w:val="none"/>
          <w:lang w:val="en-US" w:eastAsia="zh-CN"/>
        </w:rPr>
      </w:pPr>
    </w:p>
    <w:p w14:paraId="743DE764">
      <w:pPr>
        <w:spacing w:line="360" w:lineRule="auto"/>
        <w:ind w:firstLine="435"/>
        <w:rPr>
          <w:rFonts w:hint="eastAsia" w:ascii="宋体" w:hAnsi="宋体" w:eastAsia="宋体" w:cs="宋体"/>
          <w:color w:val="auto"/>
          <w:sz w:val="24"/>
          <w:highlight w:val="none"/>
          <w:lang w:val="en-US" w:eastAsia="zh-CN"/>
        </w:rPr>
      </w:pPr>
    </w:p>
    <w:p w14:paraId="7347BE39">
      <w:pPr>
        <w:spacing w:line="360" w:lineRule="auto"/>
        <w:ind w:firstLine="435"/>
        <w:rPr>
          <w:rFonts w:hint="eastAsia" w:ascii="宋体" w:hAnsi="宋体" w:eastAsia="宋体" w:cs="宋体"/>
          <w:color w:val="auto"/>
          <w:sz w:val="24"/>
          <w:highlight w:val="none"/>
          <w:lang w:val="en-US" w:eastAsia="zh-CN"/>
        </w:rPr>
      </w:pPr>
    </w:p>
    <w:p w14:paraId="4B80581D">
      <w:pPr>
        <w:spacing w:line="360" w:lineRule="auto"/>
        <w:ind w:firstLine="435"/>
        <w:rPr>
          <w:rFonts w:hint="eastAsia" w:ascii="宋体" w:hAnsi="宋体" w:eastAsia="宋体" w:cs="宋体"/>
          <w:color w:val="auto"/>
          <w:sz w:val="24"/>
          <w:highlight w:val="none"/>
          <w:lang w:val="en-US" w:eastAsia="zh-CN"/>
        </w:rPr>
      </w:pPr>
    </w:p>
    <w:p w14:paraId="716D690B">
      <w:pPr>
        <w:spacing w:line="360" w:lineRule="auto"/>
        <w:ind w:firstLine="435"/>
        <w:rPr>
          <w:rFonts w:hint="eastAsia" w:ascii="宋体" w:hAnsi="宋体" w:eastAsia="宋体" w:cs="宋体"/>
          <w:color w:val="auto"/>
          <w:sz w:val="24"/>
          <w:highlight w:val="none"/>
          <w:lang w:val="en-US" w:eastAsia="zh-CN"/>
        </w:rPr>
      </w:pPr>
    </w:p>
    <w:p w14:paraId="41FDCCC2">
      <w:pPr>
        <w:spacing w:line="360" w:lineRule="auto"/>
        <w:ind w:firstLine="435"/>
        <w:rPr>
          <w:rFonts w:hint="eastAsia" w:ascii="宋体" w:hAnsi="宋体" w:eastAsia="宋体" w:cs="宋体"/>
          <w:color w:val="auto"/>
          <w:sz w:val="24"/>
          <w:highlight w:val="none"/>
          <w:lang w:val="en-US" w:eastAsia="zh-CN"/>
        </w:rPr>
      </w:pPr>
    </w:p>
    <w:p w14:paraId="4F21BAB9">
      <w:pPr>
        <w:spacing w:line="360" w:lineRule="auto"/>
        <w:ind w:firstLine="435"/>
        <w:rPr>
          <w:rFonts w:hint="eastAsia" w:ascii="宋体" w:hAnsi="宋体" w:eastAsia="宋体" w:cs="宋体"/>
          <w:color w:val="auto"/>
          <w:sz w:val="24"/>
          <w:highlight w:val="none"/>
          <w:lang w:val="en-US" w:eastAsia="zh-CN"/>
        </w:rPr>
      </w:pPr>
    </w:p>
    <w:p w14:paraId="74EC317E">
      <w:pPr>
        <w:spacing w:line="360" w:lineRule="auto"/>
        <w:ind w:firstLine="435"/>
        <w:rPr>
          <w:rFonts w:hint="eastAsia" w:ascii="宋体" w:hAnsi="宋体" w:eastAsia="宋体" w:cs="宋体"/>
          <w:color w:val="auto"/>
          <w:sz w:val="24"/>
          <w:highlight w:val="none"/>
          <w:lang w:val="en-US" w:eastAsia="zh-CN"/>
        </w:rPr>
      </w:pPr>
    </w:p>
    <w:p w14:paraId="142F3495">
      <w:pPr>
        <w:spacing w:line="360" w:lineRule="auto"/>
        <w:ind w:firstLine="435"/>
        <w:rPr>
          <w:rFonts w:hint="eastAsia" w:ascii="宋体" w:hAnsi="宋体" w:eastAsia="宋体" w:cs="宋体"/>
          <w:color w:val="auto"/>
          <w:sz w:val="24"/>
          <w:highlight w:val="none"/>
          <w:lang w:val="en-US" w:eastAsia="zh-CN"/>
        </w:rPr>
      </w:pPr>
    </w:p>
    <w:p w14:paraId="6956BBB9">
      <w:pPr>
        <w:spacing w:line="360" w:lineRule="auto"/>
        <w:ind w:firstLine="435"/>
        <w:rPr>
          <w:rFonts w:hint="eastAsia" w:ascii="宋体" w:hAnsi="宋体" w:eastAsia="宋体" w:cs="宋体"/>
          <w:color w:val="auto"/>
          <w:sz w:val="24"/>
          <w:highlight w:val="none"/>
          <w:lang w:val="en-US" w:eastAsia="zh-CN"/>
        </w:rPr>
      </w:pPr>
    </w:p>
    <w:p w14:paraId="7E39A998">
      <w:pPr>
        <w:spacing w:line="360" w:lineRule="auto"/>
        <w:ind w:firstLine="435"/>
        <w:rPr>
          <w:rFonts w:hint="eastAsia" w:ascii="宋体" w:hAnsi="宋体" w:eastAsia="宋体" w:cs="宋体"/>
          <w:color w:val="auto"/>
          <w:sz w:val="24"/>
          <w:highlight w:val="none"/>
          <w:lang w:val="en-US" w:eastAsia="zh-CN"/>
        </w:rPr>
      </w:pPr>
    </w:p>
    <w:p w14:paraId="7504E9F8">
      <w:pPr>
        <w:spacing w:line="360" w:lineRule="auto"/>
        <w:ind w:firstLine="435"/>
        <w:rPr>
          <w:rFonts w:hint="eastAsia" w:ascii="宋体" w:hAnsi="宋体" w:eastAsia="宋体" w:cs="宋体"/>
          <w:color w:val="auto"/>
          <w:sz w:val="24"/>
          <w:highlight w:val="none"/>
          <w:lang w:val="en-US" w:eastAsia="zh-CN"/>
        </w:rPr>
      </w:pPr>
    </w:p>
    <w:p w14:paraId="4B480DB5">
      <w:pPr>
        <w:spacing w:line="360" w:lineRule="auto"/>
        <w:ind w:firstLine="435"/>
        <w:rPr>
          <w:rFonts w:hint="eastAsia" w:ascii="宋体" w:hAnsi="宋体" w:eastAsia="宋体" w:cs="宋体"/>
          <w:color w:val="auto"/>
          <w:sz w:val="24"/>
          <w:highlight w:val="none"/>
          <w:lang w:val="en-US" w:eastAsia="zh-CN"/>
        </w:rPr>
      </w:pPr>
    </w:p>
    <w:p w14:paraId="0F476DEA">
      <w:pPr>
        <w:spacing w:line="360" w:lineRule="auto"/>
        <w:ind w:firstLine="435"/>
        <w:rPr>
          <w:rFonts w:hint="eastAsia" w:ascii="宋体" w:hAnsi="宋体" w:eastAsia="宋体" w:cs="宋体"/>
          <w:color w:val="auto"/>
          <w:sz w:val="24"/>
          <w:highlight w:val="none"/>
          <w:lang w:val="en-US" w:eastAsia="zh-CN"/>
        </w:rPr>
      </w:pPr>
    </w:p>
    <w:p w14:paraId="3DD8E7FC">
      <w:pPr>
        <w:spacing w:line="360" w:lineRule="auto"/>
        <w:ind w:firstLine="435"/>
        <w:rPr>
          <w:rFonts w:hint="eastAsia" w:ascii="宋体" w:hAnsi="宋体" w:eastAsia="宋体" w:cs="宋体"/>
          <w:color w:val="auto"/>
          <w:sz w:val="24"/>
          <w:highlight w:val="none"/>
          <w:lang w:val="en-US" w:eastAsia="zh-CN"/>
        </w:rPr>
      </w:pPr>
    </w:p>
    <w:p w14:paraId="3DC4AE93">
      <w:pPr>
        <w:spacing w:line="360" w:lineRule="auto"/>
        <w:jc w:val="center"/>
        <w:outlineLvl w:val="1"/>
        <w:rPr>
          <w:rFonts w:hint="eastAsia" w:ascii="宋体" w:hAnsi="宋体" w:eastAsia="宋体" w:cs="宋体"/>
          <w:b/>
          <w:color w:val="auto"/>
          <w:sz w:val="24"/>
          <w:highlight w:val="none"/>
        </w:rPr>
      </w:pPr>
      <w:bookmarkStart w:id="165" w:name="_Toc1328"/>
      <w:r>
        <w:rPr>
          <w:rFonts w:hint="eastAsia" w:ascii="宋体" w:hAnsi="宋体" w:eastAsia="宋体" w:cs="宋体"/>
          <w:b/>
          <w:color w:val="auto"/>
          <w:sz w:val="24"/>
          <w:highlight w:val="none"/>
          <w:lang w:val="en-US" w:eastAsia="zh-CN"/>
        </w:rPr>
        <w:t>一．投标人资格声明书</w:t>
      </w:r>
      <w:bookmarkEnd w:id="165"/>
    </w:p>
    <w:p w14:paraId="01957260">
      <w:pPr>
        <w:pStyle w:val="13"/>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1B95EB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在参与本次项目投标中，我单位承诺：</w:t>
      </w:r>
    </w:p>
    <w:p w14:paraId="41CCF2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（一）具有良好的商业信誉和健全的财务会计制度；</w:t>
      </w:r>
    </w:p>
    <w:p w14:paraId="75C3B4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（二）具有履行合同所必需的设备和专业技术能力；</w:t>
      </w:r>
    </w:p>
    <w:p w14:paraId="7B2451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（三）有依法缴纳税收和社会保障资金的良好记录；</w:t>
      </w:r>
    </w:p>
    <w:p w14:paraId="4F7245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1EC1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66578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9B7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4BF4B8E">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序号</w:t>
            </w:r>
          </w:p>
        </w:tc>
        <w:tc>
          <w:tcPr>
            <w:tcW w:w="2841" w:type="dxa"/>
          </w:tcPr>
          <w:p w14:paraId="0B1E28B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单位名称</w:t>
            </w:r>
          </w:p>
        </w:tc>
        <w:tc>
          <w:tcPr>
            <w:tcW w:w="2841" w:type="dxa"/>
          </w:tcPr>
          <w:p w14:paraId="524B90F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rPr>
              <w:t>相互关系</w:t>
            </w:r>
          </w:p>
        </w:tc>
      </w:tr>
      <w:tr w14:paraId="7C60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C10A2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1</w:t>
            </w:r>
          </w:p>
        </w:tc>
        <w:tc>
          <w:tcPr>
            <w:tcW w:w="2841" w:type="dxa"/>
          </w:tcPr>
          <w:p w14:paraId="3CC9B9F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p>
        </w:tc>
        <w:tc>
          <w:tcPr>
            <w:tcW w:w="2841" w:type="dxa"/>
          </w:tcPr>
          <w:p w14:paraId="454523E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p>
        </w:tc>
      </w:tr>
      <w:tr w14:paraId="791C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170B8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2</w:t>
            </w:r>
          </w:p>
        </w:tc>
        <w:tc>
          <w:tcPr>
            <w:tcW w:w="2841" w:type="dxa"/>
          </w:tcPr>
          <w:p w14:paraId="5BF24752">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p>
        </w:tc>
        <w:tc>
          <w:tcPr>
            <w:tcW w:w="2841" w:type="dxa"/>
          </w:tcPr>
          <w:p w14:paraId="72B38AD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auto"/>
                <w:kern w:val="0"/>
                <w:sz w:val="24"/>
                <w:szCs w:val="24"/>
                <w:highlight w:val="none"/>
                <w:vertAlign w:val="baseline"/>
                <w:lang w:val="en-US" w:eastAsia="zh-CN"/>
              </w:rPr>
            </w:pPr>
          </w:p>
        </w:tc>
      </w:tr>
    </w:tbl>
    <w:p w14:paraId="38B9AE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0D12BAB">
      <w:pPr>
        <w:spacing w:line="360" w:lineRule="auto"/>
        <w:ind w:firstLine="4800" w:firstLineChars="2000"/>
        <w:rPr>
          <w:rFonts w:hint="eastAsia" w:ascii="宋体" w:hAnsi="宋体" w:eastAsia="宋体" w:cs="宋体"/>
          <w:color w:val="auto"/>
          <w:sz w:val="24"/>
          <w:highlight w:val="none"/>
        </w:rPr>
      </w:pPr>
    </w:p>
    <w:p w14:paraId="7104CE85">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24624F18">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9B0C955">
      <w:pPr>
        <w:pStyle w:val="8"/>
        <w:rPr>
          <w:rFonts w:hint="eastAsia" w:ascii="宋体" w:hAnsi="宋体" w:eastAsia="宋体" w:cs="宋体"/>
          <w:color w:val="auto"/>
          <w:kern w:val="0"/>
          <w:sz w:val="24"/>
          <w:szCs w:val="24"/>
          <w:highlight w:val="none"/>
          <w:lang w:val="en-US" w:eastAsia="zh-CN"/>
        </w:rPr>
      </w:pPr>
    </w:p>
    <w:p w14:paraId="7E727006">
      <w:pPr>
        <w:pStyle w:val="8"/>
        <w:rPr>
          <w:rFonts w:hint="eastAsia" w:ascii="宋体" w:hAnsi="宋体" w:eastAsia="宋体" w:cs="宋体"/>
          <w:color w:val="auto"/>
          <w:kern w:val="0"/>
          <w:sz w:val="24"/>
          <w:szCs w:val="24"/>
          <w:highlight w:val="none"/>
          <w:lang w:val="en-US" w:eastAsia="zh-CN"/>
        </w:rPr>
      </w:pPr>
    </w:p>
    <w:p w14:paraId="16982C85">
      <w:pPr>
        <w:pStyle w:val="8"/>
        <w:rPr>
          <w:rFonts w:hint="eastAsia" w:ascii="宋体" w:hAnsi="宋体" w:eastAsia="宋体" w:cs="宋体"/>
          <w:color w:val="auto"/>
          <w:kern w:val="0"/>
          <w:sz w:val="24"/>
          <w:szCs w:val="24"/>
          <w:highlight w:val="none"/>
          <w:lang w:val="en-US" w:eastAsia="zh-CN"/>
        </w:rPr>
      </w:pPr>
    </w:p>
    <w:p w14:paraId="658A8E08">
      <w:pPr>
        <w:rPr>
          <w:rFonts w:hint="eastAsia" w:ascii="宋体" w:hAnsi="宋体" w:eastAsia="宋体" w:cs="宋体"/>
          <w:b/>
          <w:color w:val="auto"/>
          <w:sz w:val="24"/>
          <w:highlight w:val="none"/>
        </w:rPr>
      </w:pPr>
      <w:bookmarkStart w:id="166" w:name="_Toc11607"/>
      <w:r>
        <w:rPr>
          <w:rFonts w:hint="eastAsia" w:ascii="宋体" w:hAnsi="宋体" w:eastAsia="宋体" w:cs="宋体"/>
          <w:b/>
          <w:color w:val="auto"/>
          <w:sz w:val="24"/>
          <w:highlight w:val="none"/>
        </w:rPr>
        <w:br w:type="page"/>
      </w:r>
    </w:p>
    <w:p w14:paraId="1A860CE9">
      <w:pPr>
        <w:spacing w:line="360" w:lineRule="auto"/>
        <w:jc w:val="center"/>
        <w:outlineLvl w:val="1"/>
        <w:rPr>
          <w:rFonts w:hint="eastAsia" w:ascii="宋体" w:hAnsi="宋体" w:eastAsia="宋体" w:cs="宋体"/>
          <w:b/>
          <w:color w:val="auto"/>
          <w:sz w:val="24"/>
          <w:highlight w:val="none"/>
        </w:rPr>
      </w:pPr>
      <w:bookmarkStart w:id="167" w:name="_Toc16960"/>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rPr>
        <w:t>、授权书</w:t>
      </w:r>
      <w:bookmarkEnd w:id="166"/>
      <w:bookmarkEnd w:id="167"/>
    </w:p>
    <w:p w14:paraId="3C51FF74">
      <w:pPr>
        <w:pStyle w:val="12"/>
        <w:snapToGrid w:val="0"/>
        <w:spacing w:line="360" w:lineRule="auto"/>
        <w:ind w:firstLine="480" w:firstLineChars="200"/>
        <w:jc w:val="left"/>
        <w:rPr>
          <w:rFonts w:hint="eastAsia" w:ascii="宋体" w:hAnsi="宋体" w:eastAsia="宋体" w:cs="宋体"/>
          <w:color w:val="auto"/>
          <w:sz w:val="24"/>
          <w:szCs w:val="28"/>
          <w:highlight w:val="none"/>
        </w:rPr>
      </w:pPr>
    </w:p>
    <w:p w14:paraId="3D21D01F">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8707F91">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00BF72A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3B2176FC">
      <w:pPr>
        <w:spacing w:line="360" w:lineRule="auto"/>
        <w:ind w:firstLine="435"/>
        <w:rPr>
          <w:rFonts w:hint="eastAsia" w:ascii="宋体" w:hAnsi="宋体" w:eastAsia="宋体" w:cs="宋体"/>
          <w:color w:val="auto"/>
          <w:sz w:val="24"/>
          <w:highlight w:val="none"/>
        </w:rPr>
      </w:pPr>
    </w:p>
    <w:p w14:paraId="2D070F32">
      <w:pPr>
        <w:spacing w:line="360" w:lineRule="auto"/>
        <w:ind w:firstLine="435"/>
        <w:rPr>
          <w:rFonts w:hint="eastAsia" w:ascii="宋体" w:hAnsi="宋体" w:eastAsia="宋体" w:cs="宋体"/>
          <w:color w:val="auto"/>
          <w:sz w:val="24"/>
          <w:highlight w:val="none"/>
        </w:rPr>
      </w:pPr>
    </w:p>
    <w:p w14:paraId="76BF15CF">
      <w:pPr>
        <w:spacing w:line="360" w:lineRule="auto"/>
        <w:ind w:firstLine="435"/>
        <w:rPr>
          <w:rFonts w:hint="eastAsia" w:ascii="宋体" w:hAnsi="宋体" w:eastAsia="宋体" w:cs="宋体"/>
          <w:color w:val="auto"/>
          <w:sz w:val="24"/>
          <w:highlight w:val="none"/>
        </w:rPr>
      </w:pPr>
    </w:p>
    <w:p w14:paraId="14967361">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1A09CB5F">
      <w:pPr>
        <w:spacing w:line="360" w:lineRule="auto"/>
        <w:ind w:firstLine="435"/>
        <w:rPr>
          <w:rFonts w:hint="eastAsia" w:ascii="宋体" w:hAnsi="宋体" w:eastAsia="宋体" w:cs="宋体"/>
          <w:color w:val="auto"/>
          <w:sz w:val="24"/>
          <w:szCs w:val="28"/>
          <w:highlight w:val="none"/>
          <w:lang w:val="zh-CN"/>
        </w:rPr>
      </w:pPr>
    </w:p>
    <w:p w14:paraId="6A6BAE06">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34B13E54">
      <w:pPr>
        <w:spacing w:line="360" w:lineRule="auto"/>
        <w:rPr>
          <w:rFonts w:hint="eastAsia" w:ascii="宋体" w:hAnsi="宋体" w:eastAsia="宋体" w:cs="宋体"/>
          <w:color w:val="auto"/>
          <w:sz w:val="24"/>
          <w:szCs w:val="28"/>
          <w:highlight w:val="none"/>
        </w:rPr>
      </w:pPr>
    </w:p>
    <w:p w14:paraId="637C119C">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bCs/>
          <w:color w:val="auto"/>
          <w:sz w:val="24"/>
          <w:szCs w:val="28"/>
          <w:highlight w:val="none"/>
          <w:lang w:val="en-US" w:eastAsia="zh-CN"/>
        </w:rPr>
        <w:t xml:space="preserve">                               </w:t>
      </w:r>
    </w:p>
    <w:p w14:paraId="60C9AF5D">
      <w:pPr>
        <w:spacing w:line="360" w:lineRule="auto"/>
        <w:ind w:firstLine="435"/>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highlight w:val="none"/>
          <w:lang w:val="en-US" w:eastAsia="zh-CN"/>
        </w:rPr>
        <w:t xml:space="preserve">                     投标人盖章  </w:t>
      </w:r>
      <w:r>
        <w:rPr>
          <w:rFonts w:hint="eastAsia" w:ascii="宋体" w:hAnsi="宋体" w:eastAsia="宋体" w:cs="宋体"/>
          <w:bCs/>
          <w:color w:val="auto"/>
          <w:sz w:val="24"/>
          <w:szCs w:val="28"/>
          <w:highlight w:val="none"/>
        </w:rPr>
        <w:t>：</w:t>
      </w:r>
      <w:r>
        <w:rPr>
          <w:rFonts w:hint="eastAsia" w:ascii="宋体" w:hAnsi="宋体" w:eastAsia="宋体" w:cs="宋体"/>
          <w:bCs/>
          <w:color w:val="auto"/>
          <w:sz w:val="24"/>
          <w:szCs w:val="28"/>
          <w:highlight w:val="none"/>
          <w:u w:val="single"/>
        </w:rPr>
        <w:t xml:space="preserve">                    </w:t>
      </w:r>
    </w:p>
    <w:p w14:paraId="67626BA3">
      <w:pPr>
        <w:spacing w:line="360" w:lineRule="auto"/>
        <w:ind w:firstLine="435"/>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14:paraId="6FF5999E">
      <w:pPr>
        <w:spacing w:line="360" w:lineRule="auto"/>
        <w:ind w:firstLine="435"/>
        <w:rPr>
          <w:rFonts w:hint="eastAsia" w:ascii="宋体" w:hAnsi="宋体" w:eastAsia="宋体" w:cs="宋体"/>
          <w:color w:val="auto"/>
          <w:sz w:val="24"/>
          <w:highlight w:val="none"/>
        </w:rPr>
      </w:pPr>
    </w:p>
    <w:p w14:paraId="13074CDD">
      <w:pPr>
        <w:spacing w:line="360" w:lineRule="auto"/>
        <w:ind w:firstLine="435"/>
        <w:rPr>
          <w:rFonts w:hint="eastAsia" w:ascii="宋体" w:hAnsi="宋体" w:eastAsia="宋体" w:cs="宋体"/>
          <w:color w:val="auto"/>
          <w:sz w:val="24"/>
          <w:highlight w:val="none"/>
        </w:rPr>
      </w:pPr>
    </w:p>
    <w:p w14:paraId="3BF67E0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5110E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206D25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16B94071">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2847B871">
      <w:pPr>
        <w:spacing w:line="360" w:lineRule="auto"/>
        <w:jc w:val="center"/>
        <w:outlineLvl w:val="1"/>
        <w:rPr>
          <w:rFonts w:hint="eastAsia" w:ascii="宋体" w:hAnsi="宋体" w:eastAsia="宋体" w:cs="宋体"/>
          <w:b/>
          <w:color w:val="auto"/>
          <w:sz w:val="24"/>
          <w:highlight w:val="none"/>
          <w:lang w:val="en-US" w:eastAsia="zh-CN"/>
        </w:rPr>
      </w:pPr>
      <w:bookmarkStart w:id="168" w:name="_Toc457768004"/>
      <w:bookmarkStart w:id="169" w:name="_Toc300210382"/>
      <w:bookmarkStart w:id="170" w:name="_Toc520299348"/>
      <w:bookmarkStart w:id="171" w:name="_Toc26536"/>
      <w:bookmarkStart w:id="172" w:name="_Toc25813"/>
      <w:bookmarkStart w:id="173" w:name="_Hlk11701496"/>
      <w:r>
        <w:rPr>
          <w:rFonts w:hint="eastAsia" w:ascii="宋体" w:hAnsi="宋体" w:eastAsia="宋体" w:cs="宋体"/>
          <w:b/>
          <w:color w:val="auto"/>
          <w:sz w:val="24"/>
          <w:highlight w:val="none"/>
          <w:lang w:val="en-US" w:eastAsia="zh-CN"/>
        </w:rPr>
        <w:t>三、</w:t>
      </w:r>
      <w:bookmarkEnd w:id="168"/>
      <w:bookmarkEnd w:id="169"/>
      <w:bookmarkEnd w:id="170"/>
      <w:r>
        <w:rPr>
          <w:rFonts w:hint="eastAsia" w:ascii="宋体" w:hAnsi="宋体" w:eastAsia="宋体" w:cs="宋体"/>
          <w:b/>
          <w:color w:val="auto"/>
          <w:sz w:val="24"/>
          <w:highlight w:val="none"/>
          <w:lang w:val="en-US" w:eastAsia="zh-CN"/>
        </w:rPr>
        <w:t>诚信履约承诺函</w:t>
      </w:r>
      <w:bookmarkEnd w:id="171"/>
      <w:bookmarkEnd w:id="172"/>
    </w:p>
    <w:p w14:paraId="63FD0C56">
      <w:pPr>
        <w:spacing w:line="360" w:lineRule="auto"/>
        <w:rPr>
          <w:rFonts w:hint="eastAsia" w:ascii="宋体" w:hAnsi="宋体" w:eastAsia="宋体" w:cs="宋体"/>
          <w:b/>
          <w:bCs/>
          <w:color w:val="auto"/>
          <w:sz w:val="24"/>
          <w:highlight w:val="none"/>
        </w:rPr>
      </w:pPr>
    </w:p>
    <w:p w14:paraId="2B412825">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6BA3D8FE">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EE931A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72A77AB9">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430E4B7F">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04778CC6">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62C4C4F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6E97CD8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BA5447">
      <w:pPr>
        <w:spacing w:line="360" w:lineRule="auto"/>
        <w:rPr>
          <w:rFonts w:hint="eastAsia" w:ascii="宋体" w:hAnsi="宋体" w:eastAsia="宋体" w:cs="宋体"/>
          <w:bCs/>
          <w:color w:val="auto"/>
          <w:sz w:val="24"/>
          <w:highlight w:val="none"/>
        </w:rPr>
      </w:pPr>
    </w:p>
    <w:p w14:paraId="568BEA82">
      <w:pPr>
        <w:spacing w:line="360" w:lineRule="auto"/>
        <w:rPr>
          <w:rFonts w:hint="eastAsia" w:ascii="宋体" w:hAnsi="宋体" w:eastAsia="宋体" w:cs="宋体"/>
          <w:bCs/>
          <w:color w:val="auto"/>
          <w:sz w:val="24"/>
          <w:highlight w:val="none"/>
        </w:rPr>
      </w:pPr>
    </w:p>
    <w:p w14:paraId="73180CD2">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w:t>
      </w:r>
      <w:r>
        <w:rPr>
          <w:rFonts w:hint="eastAsia" w:ascii="宋体" w:hAnsi="宋体" w:eastAsia="宋体" w:cs="宋体"/>
          <w:bCs/>
          <w:color w:val="auto"/>
          <w:sz w:val="24"/>
          <w:highlight w:val="none"/>
          <w:lang w:val="en-US" w:eastAsia="zh-CN"/>
        </w:rPr>
        <w:t>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2B8434C6">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3F5C7703">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173"/>
    <w:p w14:paraId="7B7C5FF1">
      <w:pPr>
        <w:spacing w:line="360" w:lineRule="auto"/>
        <w:jc w:val="center"/>
        <w:outlineLvl w:val="1"/>
        <w:rPr>
          <w:rFonts w:hint="eastAsia" w:ascii="宋体" w:hAnsi="宋体" w:eastAsia="宋体" w:cs="宋体"/>
          <w:b/>
          <w:color w:val="auto"/>
          <w:sz w:val="24"/>
          <w:highlight w:val="none"/>
        </w:rPr>
      </w:pPr>
      <w:bookmarkStart w:id="174" w:name="_Toc18010"/>
      <w:bookmarkStart w:id="175" w:name="_Toc6441"/>
      <w:bookmarkStart w:id="176" w:name="_Toc18131"/>
      <w:bookmarkStart w:id="177" w:name="_Toc6435"/>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开标一览表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4"/>
        <w:gridCol w:w="726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eastAsia" w:ascii="宋体" w:hAnsi="宋体" w:eastAsia="宋体" w:cs="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8"/>
                <w:highlight w:val="none"/>
              </w:rPr>
              <w:t>全部/第</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包</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/年</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eastAsia" w:ascii="宋体" w:hAnsi="宋体" w:eastAsia="宋体" w:cs="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/年</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8"/>
                <w:highlight w:val="none"/>
              </w:rPr>
            </w:pPr>
          </w:p>
        </w:tc>
      </w:tr>
    </w:tbl>
    <w:p w14:paraId="080C62EA">
      <w:pPr>
        <w:spacing w:line="360" w:lineRule="auto"/>
        <w:ind w:firstLine="4320" w:firstLineChars="1800"/>
        <w:jc w:val="center"/>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6AED1872">
      <w:pPr>
        <w:spacing w:line="360" w:lineRule="auto"/>
        <w:ind w:firstLine="4320" w:firstLineChars="18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064F1FE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23CE853">
      <w:pPr>
        <w:spacing w:line="360" w:lineRule="auto"/>
        <w:ind w:firstLine="360" w:firstLineChars="150"/>
        <w:rPr>
          <w:rFonts w:hint="eastAsia" w:ascii="宋体" w:hAnsi="宋体" w:eastAsia="宋体" w:cs="宋体"/>
          <w:color w:val="auto"/>
          <w:sz w:val="24"/>
          <w:highlight w:val="none"/>
        </w:rPr>
      </w:pPr>
    </w:p>
    <w:p w14:paraId="7C33BAAC">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注：</w:t>
      </w:r>
    </w:p>
    <w:p w14:paraId="4E37B3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64F8DB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14BF6615">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.表中大写金额与小写金额不一致的，以大写金额为准。</w:t>
      </w:r>
      <w:r>
        <w:rPr>
          <w:rFonts w:hint="eastAsia" w:ascii="宋体" w:hAnsi="宋体" w:eastAsia="宋体" w:cs="宋体"/>
          <w:color w:val="auto"/>
          <w:sz w:val="24"/>
          <w:highlight w:val="none"/>
        </w:rPr>
        <w:br w:type="page"/>
      </w:r>
    </w:p>
    <w:p w14:paraId="6F533828">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五</w:t>
      </w:r>
      <w:r>
        <w:rPr>
          <w:rFonts w:hint="eastAsia" w:ascii="宋体" w:hAnsi="宋体" w:eastAsia="宋体" w:cs="宋体"/>
          <w:b/>
          <w:color w:val="auto"/>
          <w:sz w:val="24"/>
          <w:highlight w:val="none"/>
        </w:rPr>
        <w:t>、投标函</w:t>
      </w:r>
    </w:p>
    <w:p w14:paraId="137B4C66">
      <w:pPr>
        <w:pStyle w:val="13"/>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4A523BB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1065715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424D57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hint="eastAsia" w:ascii="宋体" w:hAnsi="宋体" w:eastAsia="宋体" w:cs="宋体"/>
          <w:color w:val="auto"/>
          <w:sz w:val="24"/>
          <w:highlight w:val="none"/>
        </w:rPr>
      </w:pPr>
    </w:p>
    <w:p w14:paraId="13BFA48F">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56F858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bookmarkEnd w:id="174"/>
    <w:bookmarkEnd w:id="175"/>
    <w:p w14:paraId="1A4FFA23">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color w:val="auto"/>
          <w:sz w:val="24"/>
          <w:highlight w:val="none"/>
        </w:rPr>
        <w:t xml:space="preserve">     </w:t>
      </w:r>
    </w:p>
    <w:p w14:paraId="4D1B50D1">
      <w:pPr>
        <w:spacing w:line="360" w:lineRule="auto"/>
        <w:jc w:val="center"/>
        <w:outlineLvl w:val="0"/>
        <w:rPr>
          <w:rFonts w:hint="eastAsia" w:ascii="宋体" w:hAnsi="宋体" w:eastAsia="宋体" w:cs="宋体"/>
          <w:b/>
          <w:color w:val="auto"/>
          <w:sz w:val="28"/>
          <w:highlight w:val="none"/>
        </w:rPr>
      </w:pPr>
    </w:p>
    <w:p w14:paraId="33171277">
      <w:pPr>
        <w:spacing w:line="360" w:lineRule="auto"/>
        <w:jc w:val="center"/>
        <w:outlineLvl w:val="0"/>
        <w:rPr>
          <w:rFonts w:hint="eastAsia" w:ascii="宋体" w:hAnsi="宋体" w:eastAsia="宋体" w:cs="宋体"/>
          <w:b/>
          <w:color w:val="auto"/>
          <w:sz w:val="28"/>
          <w:highlight w:val="none"/>
        </w:rPr>
      </w:pPr>
    </w:p>
    <w:p w14:paraId="24295485">
      <w:pPr>
        <w:spacing w:line="360" w:lineRule="auto"/>
        <w:jc w:val="center"/>
        <w:outlineLvl w:val="0"/>
        <w:rPr>
          <w:rFonts w:hint="eastAsia" w:ascii="宋体" w:hAnsi="宋体" w:eastAsia="宋体" w:cs="宋体"/>
          <w:b/>
          <w:color w:val="auto"/>
          <w:sz w:val="28"/>
          <w:highlight w:val="none"/>
        </w:rPr>
      </w:pPr>
    </w:p>
    <w:p w14:paraId="7DDD1FC1">
      <w:pPr>
        <w:spacing w:line="360" w:lineRule="auto"/>
        <w:jc w:val="center"/>
        <w:outlineLvl w:val="0"/>
        <w:rPr>
          <w:rFonts w:hint="eastAsia" w:ascii="宋体" w:hAnsi="宋体" w:eastAsia="宋体" w:cs="宋体"/>
          <w:b/>
          <w:color w:val="auto"/>
          <w:sz w:val="28"/>
          <w:highlight w:val="none"/>
        </w:rPr>
      </w:pPr>
    </w:p>
    <w:p w14:paraId="43175992">
      <w:pPr>
        <w:spacing w:line="360" w:lineRule="auto"/>
        <w:jc w:val="center"/>
        <w:outlineLvl w:val="0"/>
        <w:rPr>
          <w:rFonts w:hint="eastAsia" w:ascii="宋体" w:hAnsi="宋体" w:eastAsia="宋体" w:cs="宋体"/>
          <w:b/>
          <w:color w:val="auto"/>
          <w:sz w:val="28"/>
          <w:highlight w:val="none"/>
        </w:rPr>
      </w:pPr>
    </w:p>
    <w:p w14:paraId="01B5060D">
      <w:pPr>
        <w:spacing w:line="360" w:lineRule="auto"/>
        <w:jc w:val="center"/>
        <w:outlineLvl w:val="1"/>
        <w:rPr>
          <w:rFonts w:hint="eastAsia" w:ascii="宋体" w:hAnsi="宋体" w:eastAsia="宋体" w:cs="宋体"/>
          <w:b/>
          <w:color w:val="auto"/>
          <w:sz w:val="24"/>
          <w:highlight w:val="none"/>
        </w:rPr>
      </w:pPr>
      <w:bookmarkStart w:id="178" w:name="_Toc31991"/>
      <w:bookmarkStart w:id="179" w:name="_Toc6796"/>
    </w:p>
    <w:p w14:paraId="2484B04A">
      <w:pPr>
        <w:spacing w:line="360" w:lineRule="auto"/>
        <w:jc w:val="center"/>
        <w:outlineLvl w:val="1"/>
        <w:rPr>
          <w:rFonts w:hint="eastAsia" w:ascii="宋体" w:hAnsi="宋体" w:eastAsia="宋体" w:cs="宋体"/>
          <w:b/>
          <w:color w:val="auto"/>
          <w:sz w:val="24"/>
          <w:highlight w:val="none"/>
        </w:rPr>
      </w:pPr>
    </w:p>
    <w:p w14:paraId="223B7C8F">
      <w:pPr>
        <w:spacing w:line="360" w:lineRule="auto"/>
        <w:jc w:val="center"/>
        <w:outlineLvl w:val="1"/>
        <w:rPr>
          <w:rFonts w:hint="eastAsia" w:ascii="宋体" w:hAnsi="宋体" w:eastAsia="宋体" w:cs="宋体"/>
          <w:b/>
          <w:color w:val="auto"/>
          <w:sz w:val="24"/>
          <w:highlight w:val="none"/>
        </w:rPr>
      </w:pPr>
    </w:p>
    <w:p w14:paraId="42B97848">
      <w:pPr>
        <w:spacing w:line="360" w:lineRule="auto"/>
        <w:jc w:val="center"/>
        <w:outlineLvl w:val="1"/>
        <w:rPr>
          <w:rFonts w:hint="eastAsia" w:ascii="宋体" w:hAnsi="宋体" w:eastAsia="宋体" w:cs="宋体"/>
          <w:b/>
          <w:color w:val="auto"/>
          <w:sz w:val="24"/>
          <w:highlight w:val="none"/>
        </w:rPr>
      </w:pPr>
    </w:p>
    <w:bookmarkEnd w:id="178"/>
    <w:bookmarkEnd w:id="179"/>
    <w:p w14:paraId="2F215D73">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End w:id="176"/>
      <w:bookmarkEnd w:id="177"/>
    </w:p>
    <w:p w14:paraId="30CB8BE6">
      <w:pPr>
        <w:rPr>
          <w:rFonts w:hint="eastAsia" w:ascii="宋体" w:hAnsi="宋体" w:eastAsia="宋体" w:cs="宋体"/>
          <w:color w:val="auto"/>
          <w:highlight w:val="none"/>
        </w:rPr>
      </w:pPr>
    </w:p>
    <w:p w14:paraId="2F47180F">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lang w:val="en-US" w:eastAsia="zh-CN"/>
        </w:rPr>
        <w:t xml:space="preserve">第七章 </w:t>
      </w:r>
      <w:r>
        <w:rPr>
          <w:rFonts w:hint="eastAsia" w:ascii="宋体" w:hAnsi="宋体" w:eastAsia="宋体" w:cs="宋体"/>
          <w:b/>
          <w:bCs/>
          <w:color w:val="auto"/>
          <w:sz w:val="28"/>
          <w:highlight w:val="none"/>
        </w:rPr>
        <w:t>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p>
    <w:p w14:paraId="2CFC6E55">
      <w:pPr>
        <w:spacing w:line="360" w:lineRule="auto"/>
        <w:jc w:val="center"/>
        <w:outlineLvl w:val="1"/>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t>询问函范本</w:t>
      </w:r>
    </w:p>
    <w:p w14:paraId="22E6F284">
      <w:pPr>
        <w:adjustRightInd w:val="0"/>
        <w:snapToGrid w:val="0"/>
        <w:spacing w:line="360" w:lineRule="auto"/>
        <w:ind w:firstLine="480" w:firstLineChars="200"/>
        <w:jc w:val="center"/>
        <w:rPr>
          <w:rFonts w:hint="eastAsia"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（如为对采购文件或采购程序的询问或疑问，请按询问函范本格式附件进行提交）</w:t>
      </w:r>
    </w:p>
    <w:p w14:paraId="1436D05E">
      <w:pPr>
        <w:adjustRightInd w:val="0"/>
        <w:snapToGrid w:val="0"/>
        <w:spacing w:line="360" w:lineRule="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rPr>
        <w:t>致：采购人</w:t>
      </w:r>
    </w:p>
    <w:p w14:paraId="747CF6D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i/>
          <w:iCs/>
          <w:color w:val="auto"/>
          <w:sz w:val="24"/>
          <w:szCs w:val="24"/>
          <w:highlight w:val="none"/>
        </w:rPr>
        <w:t>项目名称、编号</w:t>
      </w:r>
      <w:r>
        <w:rPr>
          <w:rFonts w:hint="eastAsia" w:ascii="宋体" w:hAnsi="宋体" w:eastAsia="宋体" w:cs="宋体"/>
          <w:color w:val="auto"/>
          <w:sz w:val="24"/>
          <w:szCs w:val="24"/>
          <w:highlight w:val="none"/>
        </w:rPr>
        <w:t>）的采购活动，现有以下内容(或条款)存在疑问(或无法理解)，特提出询问。</w:t>
      </w:r>
    </w:p>
    <w:p w14:paraId="71C51CF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一、(事项一)</w:t>
      </w:r>
    </w:p>
    <w:p w14:paraId="5E4875E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59D6981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645275C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4992509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二、(事项二)</w:t>
      </w:r>
    </w:p>
    <w:p w14:paraId="4BA0757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FF269F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5D206545">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2B9EAAEE">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71145102">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E10C076">
      <w:pPr>
        <w:wordWrap w:val="0"/>
        <w:spacing w:before="100" w:beforeAutospacing="1" w:after="100" w:afterAutospacing="1"/>
        <w:jc w:val="center"/>
        <w:rPr>
          <w:rFonts w:hint="eastAsia" w:ascii="宋体" w:hAnsi="宋体" w:eastAsia="宋体" w:cs="宋体"/>
          <w:b/>
          <w:color w:val="auto"/>
          <w:sz w:val="28"/>
          <w:szCs w:val="28"/>
          <w:highlight w:val="none"/>
        </w:rPr>
      </w:pPr>
    </w:p>
    <w:p w14:paraId="38B79CC0">
      <w:pPr>
        <w:wordWrap w:val="0"/>
        <w:spacing w:before="100" w:beforeAutospacing="1" w:after="100" w:afterAutospacing="1"/>
        <w:jc w:val="center"/>
        <w:rPr>
          <w:rFonts w:hint="eastAsia" w:ascii="宋体" w:hAnsi="宋体" w:eastAsia="宋体" w:cs="宋体"/>
          <w:b/>
          <w:color w:val="auto"/>
          <w:sz w:val="28"/>
          <w:szCs w:val="28"/>
          <w:highlight w:val="none"/>
        </w:rPr>
      </w:pPr>
    </w:p>
    <w:p w14:paraId="5A01A5EF">
      <w:pPr>
        <w:wordWrap w:val="0"/>
        <w:spacing w:before="100" w:beforeAutospacing="1" w:after="100" w:afterAutospacing="1"/>
        <w:jc w:val="center"/>
        <w:rPr>
          <w:rFonts w:hint="eastAsia" w:ascii="宋体" w:hAnsi="宋体" w:eastAsia="宋体" w:cs="宋体"/>
          <w:b/>
          <w:color w:val="auto"/>
          <w:sz w:val="28"/>
          <w:szCs w:val="28"/>
          <w:highlight w:val="none"/>
        </w:rPr>
      </w:pPr>
    </w:p>
    <w:p w14:paraId="5404F36F">
      <w:pPr>
        <w:wordWrap w:val="0"/>
        <w:spacing w:before="100" w:beforeAutospacing="1" w:after="100" w:afterAutospacing="1"/>
        <w:jc w:val="center"/>
        <w:rPr>
          <w:rFonts w:hint="eastAsia" w:ascii="宋体" w:hAnsi="宋体" w:eastAsia="宋体" w:cs="宋体"/>
          <w:b/>
          <w:color w:val="auto"/>
          <w:sz w:val="28"/>
          <w:szCs w:val="28"/>
          <w:highlight w:val="none"/>
        </w:rPr>
      </w:pPr>
    </w:p>
    <w:p w14:paraId="35DA98BA">
      <w:pPr>
        <w:wordWrap w:val="0"/>
        <w:spacing w:before="100" w:beforeAutospacing="1" w:after="100" w:afterAutospacing="1"/>
        <w:jc w:val="center"/>
        <w:rPr>
          <w:rFonts w:hint="eastAsia" w:ascii="宋体" w:hAnsi="宋体" w:eastAsia="宋体" w:cs="宋体"/>
          <w:b/>
          <w:color w:val="auto"/>
          <w:sz w:val="28"/>
          <w:szCs w:val="28"/>
          <w:highlight w:val="none"/>
        </w:rPr>
      </w:pPr>
    </w:p>
    <w:p w14:paraId="0AF6801A">
      <w:pPr>
        <w:wordWrap w:val="0"/>
        <w:spacing w:before="100" w:beforeAutospacing="1" w:after="100" w:afterAutospacing="1"/>
        <w:jc w:val="center"/>
        <w:rPr>
          <w:rFonts w:hint="eastAsia" w:ascii="宋体" w:hAnsi="宋体" w:eastAsia="宋体" w:cs="宋体"/>
          <w:b/>
          <w:color w:val="auto"/>
          <w:sz w:val="28"/>
          <w:szCs w:val="28"/>
          <w:highlight w:val="none"/>
        </w:rPr>
      </w:pPr>
    </w:p>
    <w:p w14:paraId="7E0659E6">
      <w:pPr>
        <w:jc w:val="center"/>
        <w:outlineLvl w:val="1"/>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t>质疑函范本</w:t>
      </w:r>
    </w:p>
    <w:p w14:paraId="2AB29881">
      <w:pPr>
        <w:adjustRightInd w:val="0"/>
        <w:snapToGrid w:val="0"/>
        <w:spacing w:before="312" w:beforeLines="10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186CE28">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65FBB2E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5623030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54739BD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1FB96F6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02103F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A103D44">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57483C6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5165819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05A2E74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660B0D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6CD68853">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三、质疑事项具体内容</w:t>
      </w:r>
    </w:p>
    <w:p w14:paraId="12F7E0A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08252DB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6D3F501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03E2001B">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6258CF17">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2BE1CDE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4E2F2A7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E45F451">
      <w:pPr>
        <w:adjustRightInd w:val="0"/>
        <w:snapToGrid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四、与质疑事项相关的质疑请求</w:t>
      </w:r>
    </w:p>
    <w:p w14:paraId="0327393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786065D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2B0CC50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4DD25BA1">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D7F68D5">
      <w:pPr>
        <w:outlineLvl w:val="0"/>
        <w:rPr>
          <w:rFonts w:hint="eastAsia" w:ascii="宋体" w:hAnsi="宋体" w:eastAsia="宋体" w:cs="宋体"/>
          <w:b/>
          <w:color w:val="auto"/>
          <w:sz w:val="28"/>
          <w:szCs w:val="32"/>
          <w:highlight w:val="none"/>
        </w:rPr>
      </w:pPr>
      <w:r>
        <w:rPr>
          <w:rFonts w:hint="eastAsia" w:ascii="宋体" w:hAnsi="宋体" w:eastAsia="宋体" w:cs="宋体"/>
          <w:b/>
          <w:color w:val="auto"/>
          <w:sz w:val="28"/>
          <w:szCs w:val="32"/>
          <w:highlight w:val="none"/>
        </w:rPr>
        <w:t>质疑函制作说明：</w:t>
      </w:r>
    </w:p>
    <w:p w14:paraId="09D5A84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05CB1D2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F4049B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56ADD01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2636B94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7AABAFD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6C09713">
      <w:pPr>
        <w:widowControl/>
        <w:jc w:val="left"/>
        <w:rPr>
          <w:rFonts w:hint="eastAsia" w:ascii="宋体" w:hAnsi="宋体" w:eastAsia="宋体" w:cs="宋体"/>
          <w:color w:val="auto"/>
          <w:sz w:val="24"/>
          <w:highlight w:val="none"/>
        </w:rPr>
      </w:pPr>
    </w:p>
    <w:sectPr>
      <w:headerReference r:id="rId5" w:type="default"/>
      <w:footerReference r:id="rId6"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3288">
    <w:pPr>
      <w:pStyle w:val="15"/>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837E2">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72837E2">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5"/>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35C33A">
                          <w:pPr>
                            <w:pStyle w:val="15"/>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C35C33A">
                    <w:pPr>
                      <w:pStyle w:val="15"/>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40</w:t>
                    </w:r>
                    <w:r>
                      <w:fldChar w:fldCharType="end"/>
                    </w:r>
                    <w:r>
                      <w:t xml:space="preserve"> 页</w:t>
                    </w:r>
                  </w:p>
                </w:txbxContent>
              </v:textbox>
            </v:shape>
          </w:pict>
        </mc:Fallback>
      </mc:AlternateContent>
    </w: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600D8F">
                          <w:pPr>
                            <w:rPr>
                              <w:rFonts w:hint="eastAsia"/>
                            </w:rPr>
                          </w:pP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F600D8F">
                    <w:pPr>
                      <w:rPr>
                        <w:rFonts w:hint="eastAsia"/>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B24F">
    <w:pPr>
      <w:pStyle w:val="16"/>
      <w:jc w:val="left"/>
      <w:rPr>
        <w:rFonts w:ascii="宋体" w:hAnsi="宋体"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6"/>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13B792"/>
    <w:multiLevelType w:val="singleLevel"/>
    <w:tmpl w:val="E013B792"/>
    <w:lvl w:ilvl="0" w:tentative="0">
      <w:start w:val="1"/>
      <w:numFmt w:val="chineseCounting"/>
      <w:suff w:val="nothing"/>
      <w:lvlText w:val="（%1）"/>
      <w:lvlJc w:val="left"/>
      <w:pPr>
        <w:ind w:left="0" w:firstLine="420"/>
      </w:pPr>
      <w:rPr>
        <w:rFonts w:hint="eastAsia"/>
      </w:rPr>
    </w:lvl>
  </w:abstractNum>
  <w:abstractNum w:abstractNumId="1">
    <w:nsid w:val="5366D351"/>
    <w:multiLevelType w:val="singleLevel"/>
    <w:tmpl w:val="5366D35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000000"/>
    <w:rsid w:val="00135135"/>
    <w:rsid w:val="00637A8F"/>
    <w:rsid w:val="01777E75"/>
    <w:rsid w:val="01B3556A"/>
    <w:rsid w:val="01E25ABE"/>
    <w:rsid w:val="01FF3BC3"/>
    <w:rsid w:val="02907B51"/>
    <w:rsid w:val="034D095E"/>
    <w:rsid w:val="03A82CAD"/>
    <w:rsid w:val="044E498E"/>
    <w:rsid w:val="04977231"/>
    <w:rsid w:val="05502988"/>
    <w:rsid w:val="071449EC"/>
    <w:rsid w:val="0748600C"/>
    <w:rsid w:val="07850B94"/>
    <w:rsid w:val="080571F7"/>
    <w:rsid w:val="0A6749FB"/>
    <w:rsid w:val="0C96488C"/>
    <w:rsid w:val="0D2070E4"/>
    <w:rsid w:val="0D5A0848"/>
    <w:rsid w:val="0DBD3537"/>
    <w:rsid w:val="10026281"/>
    <w:rsid w:val="10A92E3C"/>
    <w:rsid w:val="11B524F0"/>
    <w:rsid w:val="142E658A"/>
    <w:rsid w:val="14535EB6"/>
    <w:rsid w:val="14A64372"/>
    <w:rsid w:val="14ED3D4F"/>
    <w:rsid w:val="151242CA"/>
    <w:rsid w:val="161146EA"/>
    <w:rsid w:val="16EE413B"/>
    <w:rsid w:val="178521C3"/>
    <w:rsid w:val="17B80644"/>
    <w:rsid w:val="18C21A24"/>
    <w:rsid w:val="1B325A6D"/>
    <w:rsid w:val="1BAD248A"/>
    <w:rsid w:val="1C8A6328"/>
    <w:rsid w:val="1C9F6277"/>
    <w:rsid w:val="1E081BFA"/>
    <w:rsid w:val="1E5209A9"/>
    <w:rsid w:val="1ECF593D"/>
    <w:rsid w:val="1F6A3B3E"/>
    <w:rsid w:val="20586E69"/>
    <w:rsid w:val="20631D11"/>
    <w:rsid w:val="20E63CC8"/>
    <w:rsid w:val="21374CD0"/>
    <w:rsid w:val="21A60641"/>
    <w:rsid w:val="22632F8C"/>
    <w:rsid w:val="22A5210D"/>
    <w:rsid w:val="233A2855"/>
    <w:rsid w:val="24013373"/>
    <w:rsid w:val="24A273AD"/>
    <w:rsid w:val="25475BB8"/>
    <w:rsid w:val="25EB6089"/>
    <w:rsid w:val="25FE400E"/>
    <w:rsid w:val="26906C30"/>
    <w:rsid w:val="27A8194F"/>
    <w:rsid w:val="27AB1F74"/>
    <w:rsid w:val="27FF4722"/>
    <w:rsid w:val="283F1733"/>
    <w:rsid w:val="297B3BC8"/>
    <w:rsid w:val="2BDA4172"/>
    <w:rsid w:val="2D96494A"/>
    <w:rsid w:val="2EB060C2"/>
    <w:rsid w:val="2F8376E0"/>
    <w:rsid w:val="30442B30"/>
    <w:rsid w:val="311A0999"/>
    <w:rsid w:val="3190410E"/>
    <w:rsid w:val="319475D5"/>
    <w:rsid w:val="31EF5153"/>
    <w:rsid w:val="35507B33"/>
    <w:rsid w:val="365F68EE"/>
    <w:rsid w:val="396509C3"/>
    <w:rsid w:val="3A881CA1"/>
    <w:rsid w:val="3B5B7B12"/>
    <w:rsid w:val="3B7010B2"/>
    <w:rsid w:val="3B8B3D12"/>
    <w:rsid w:val="3CD157EA"/>
    <w:rsid w:val="3D202664"/>
    <w:rsid w:val="3E900306"/>
    <w:rsid w:val="3E990920"/>
    <w:rsid w:val="3F5E1ADA"/>
    <w:rsid w:val="3FE97AAF"/>
    <w:rsid w:val="401A628B"/>
    <w:rsid w:val="406D3E12"/>
    <w:rsid w:val="414C43D2"/>
    <w:rsid w:val="41846EB2"/>
    <w:rsid w:val="41FB544E"/>
    <w:rsid w:val="424E75EA"/>
    <w:rsid w:val="42D7538F"/>
    <w:rsid w:val="43192DC8"/>
    <w:rsid w:val="43FC45F2"/>
    <w:rsid w:val="44B2481B"/>
    <w:rsid w:val="45455285"/>
    <w:rsid w:val="456E2723"/>
    <w:rsid w:val="45CA5863"/>
    <w:rsid w:val="46132E83"/>
    <w:rsid w:val="46354440"/>
    <w:rsid w:val="46C51B89"/>
    <w:rsid w:val="48C12F4D"/>
    <w:rsid w:val="4A432E50"/>
    <w:rsid w:val="4AF3565B"/>
    <w:rsid w:val="4B076EEB"/>
    <w:rsid w:val="4B964046"/>
    <w:rsid w:val="4BFC116A"/>
    <w:rsid w:val="4C2B0BB7"/>
    <w:rsid w:val="4D4B7F5A"/>
    <w:rsid w:val="4E5877A0"/>
    <w:rsid w:val="4F842056"/>
    <w:rsid w:val="4FE47521"/>
    <w:rsid w:val="50E579F5"/>
    <w:rsid w:val="520E2096"/>
    <w:rsid w:val="554A7FC1"/>
    <w:rsid w:val="55C45E2B"/>
    <w:rsid w:val="56D0725B"/>
    <w:rsid w:val="56D5001B"/>
    <w:rsid w:val="5853793A"/>
    <w:rsid w:val="585872F1"/>
    <w:rsid w:val="585D6076"/>
    <w:rsid w:val="59914EB2"/>
    <w:rsid w:val="5A7D545E"/>
    <w:rsid w:val="5CED210B"/>
    <w:rsid w:val="5E08087F"/>
    <w:rsid w:val="5E203E1A"/>
    <w:rsid w:val="5EDE0559"/>
    <w:rsid w:val="5EF82C0D"/>
    <w:rsid w:val="6111492D"/>
    <w:rsid w:val="62392CC7"/>
    <w:rsid w:val="629E0205"/>
    <w:rsid w:val="638F5526"/>
    <w:rsid w:val="6449646C"/>
    <w:rsid w:val="677B5035"/>
    <w:rsid w:val="68753C2C"/>
    <w:rsid w:val="69013140"/>
    <w:rsid w:val="6929500B"/>
    <w:rsid w:val="693D7F76"/>
    <w:rsid w:val="69F70A2D"/>
    <w:rsid w:val="6A3E77E6"/>
    <w:rsid w:val="6C3C3EA6"/>
    <w:rsid w:val="6CFC03CE"/>
    <w:rsid w:val="6F0155A2"/>
    <w:rsid w:val="6F6607E6"/>
    <w:rsid w:val="6FDB79D7"/>
    <w:rsid w:val="70C55FE8"/>
    <w:rsid w:val="714C3766"/>
    <w:rsid w:val="719B0DF9"/>
    <w:rsid w:val="71ED1E0E"/>
    <w:rsid w:val="72E12395"/>
    <w:rsid w:val="731C29AB"/>
    <w:rsid w:val="73E7745D"/>
    <w:rsid w:val="74485A21"/>
    <w:rsid w:val="7554492F"/>
    <w:rsid w:val="78A21D8D"/>
    <w:rsid w:val="79BD14F1"/>
    <w:rsid w:val="7A4D6686"/>
    <w:rsid w:val="7B9003DA"/>
    <w:rsid w:val="7CEF2EDE"/>
    <w:rsid w:val="7D2D1C58"/>
    <w:rsid w:val="7F7C6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7"/>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9"/>
    <w:qFormat/>
    <w:uiPriority w:val="9"/>
    <w:pPr>
      <w:keepNext/>
      <w:keepLines/>
      <w:spacing w:before="260" w:after="260" w:line="416" w:lineRule="auto"/>
      <w:outlineLvl w:val="2"/>
    </w:pPr>
    <w:rPr>
      <w:b/>
      <w:bCs/>
      <w:sz w:val="32"/>
      <w:szCs w:val="32"/>
    </w:rPr>
  </w:style>
  <w:style w:type="paragraph" w:styleId="5">
    <w:name w:val="heading 4"/>
    <w:basedOn w:val="1"/>
    <w:next w:val="1"/>
    <w:link w:val="54"/>
    <w:qFormat/>
    <w:uiPriority w:val="0"/>
    <w:pPr>
      <w:keepNext/>
      <w:keepLines/>
      <w:spacing w:before="280" w:after="290" w:line="376" w:lineRule="auto"/>
      <w:outlineLvl w:val="3"/>
    </w:pPr>
    <w:rPr>
      <w:b/>
      <w:bCs/>
      <w:sz w:val="28"/>
      <w:szCs w:val="28"/>
    </w:rPr>
  </w:style>
  <w:style w:type="character" w:default="1" w:styleId="26">
    <w:name w:val="Default Paragraph Font"/>
    <w:qFormat/>
    <w:uiPriority w:val="1"/>
  </w:style>
  <w:style w:type="table" w:default="1" w:styleId="24">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6"/>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2">
    <w:name w:val="Plain Text"/>
    <w:basedOn w:val="1"/>
    <w:link w:val="36"/>
    <w:qFormat/>
    <w:uiPriority w:val="99"/>
    <w:rPr>
      <w:rFonts w:ascii="宋体" w:hAnsi="Courier New" w:eastAsia="宋体" w:cs="宋体"/>
      <w:szCs w:val="22"/>
    </w:rPr>
  </w:style>
  <w:style w:type="paragraph" w:styleId="13">
    <w:name w:val="Date"/>
    <w:basedOn w:val="1"/>
    <w:next w:val="1"/>
    <w:link w:val="43"/>
    <w:qFormat/>
    <w:uiPriority w:val="0"/>
    <w:rPr>
      <w:rFonts w:ascii="Arial" w:hAnsi="Arial" w:eastAsia="宋体" w:cs="Arial"/>
      <w:b/>
      <w:sz w:val="28"/>
    </w:rPr>
  </w:style>
  <w:style w:type="paragraph" w:styleId="14">
    <w:name w:val="Balloon Text"/>
    <w:basedOn w:val="1"/>
    <w:link w:val="30"/>
    <w:qFormat/>
    <w:uiPriority w:val="99"/>
    <w:rPr>
      <w:sz w:val="18"/>
      <w:szCs w:val="18"/>
    </w:rPr>
  </w:style>
  <w:style w:type="paragraph" w:styleId="15">
    <w:name w:val="footer"/>
    <w:basedOn w:val="1"/>
    <w:link w:val="35"/>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18">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index 1"/>
    <w:basedOn w:val="1"/>
    <w:next w:val="1"/>
    <w:qFormat/>
    <w:uiPriority w:val="0"/>
    <w:pPr>
      <w:jc w:val="center"/>
    </w:pPr>
    <w:rPr>
      <w:rFonts w:ascii="Arial" w:hAnsi="Arial" w:eastAsia="Arial" w:cs="Arial"/>
      <w:b/>
      <w:bCs/>
      <w:sz w:val="28"/>
    </w:rPr>
  </w:style>
  <w:style w:type="paragraph" w:styleId="21">
    <w:name w:val="annotation subject"/>
    <w:basedOn w:val="7"/>
    <w:next w:val="7"/>
    <w:link w:val="57"/>
    <w:qFormat/>
    <w:uiPriority w:val="99"/>
    <w:rPr>
      <w:rFonts w:ascii="@仿宋_GB2312" w:hAnsi="@仿宋_GB2312" w:eastAsia="@仿宋_GB2312" w:cs="@仿宋_GB2312"/>
      <w:b/>
      <w:bCs/>
    </w:rPr>
  </w:style>
  <w:style w:type="paragraph" w:styleId="22">
    <w:name w:val="Body Text First Indent"/>
    <w:basedOn w:val="8"/>
    <w:qFormat/>
    <w:uiPriority w:val="99"/>
    <w:pPr>
      <w:ind w:firstLine="420" w:firstLineChars="100"/>
    </w:pPr>
  </w:style>
  <w:style w:type="paragraph" w:styleId="23">
    <w:name w:val="Body Text First Indent 2"/>
    <w:basedOn w:val="9"/>
    <w:next w:val="1"/>
    <w:qFormat/>
    <w:uiPriority w:val="0"/>
    <w:pPr>
      <w:ind w:left="420" w:firstLine="420" w:firstLineChars="200"/>
    </w:p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Hyperlink"/>
    <w:basedOn w:val="26"/>
    <w:qFormat/>
    <w:uiPriority w:val="99"/>
    <w:rPr>
      <w:color w:val="0000FF"/>
      <w:u w:val="single"/>
    </w:rPr>
  </w:style>
  <w:style w:type="character" w:styleId="29">
    <w:name w:val="annotation reference"/>
    <w:basedOn w:val="26"/>
    <w:qFormat/>
    <w:uiPriority w:val="99"/>
    <w:rPr>
      <w:sz w:val="21"/>
      <w:szCs w:val="21"/>
    </w:rPr>
  </w:style>
  <w:style w:type="character" w:customStyle="1" w:styleId="30">
    <w:name w:val="批注框文本 Char"/>
    <w:basedOn w:val="26"/>
    <w:link w:val="14"/>
    <w:qFormat/>
    <w:uiPriority w:val="99"/>
    <w:rPr>
      <w:rFonts w:ascii="@仿宋_GB2312" w:hAnsi="@仿宋_GB2312" w:eastAsia="@仿宋_GB2312" w:cs="@仿宋_GB2312"/>
      <w:sz w:val="18"/>
      <w:szCs w:val="18"/>
    </w:rPr>
  </w:style>
  <w:style w:type="paragraph" w:customStyle="1" w:styleId="31">
    <w:name w:val="正文（缩进）"/>
    <w:basedOn w:val="1"/>
    <w:qFormat/>
    <w:uiPriority w:val="0"/>
    <w:pPr>
      <w:widowControl/>
      <w:spacing w:before="156" w:after="156"/>
      <w:ind w:firstLine="480" w:firstLineChars="200"/>
      <w:jc w:val="left"/>
    </w:pPr>
    <w:rPr>
      <w:kern w:val="0"/>
      <w:sz w:val="24"/>
      <w:szCs w:val="24"/>
    </w:rPr>
  </w:style>
  <w:style w:type="paragraph" w:customStyle="1" w:styleId="32">
    <w:name w:val="xl31"/>
    <w:basedOn w:val="1"/>
    <w:qFormat/>
    <w:uiPriority w:val="0"/>
    <w:pPr>
      <w:widowControl/>
      <w:spacing w:before="100" w:beforeAutospacing="1" w:after="100" w:afterAutospacing="1"/>
      <w:jc w:val="center"/>
    </w:pPr>
    <w:rPr>
      <w:b/>
      <w:bCs/>
      <w:kern w:val="0"/>
      <w:sz w:val="28"/>
      <w:szCs w:val="28"/>
    </w:rPr>
  </w:style>
  <w:style w:type="paragraph" w:customStyle="1" w:styleId="33">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4">
    <w:name w:val="页眉 Char"/>
    <w:basedOn w:val="26"/>
    <w:link w:val="16"/>
    <w:qFormat/>
    <w:uiPriority w:val="99"/>
    <w:rPr>
      <w:rFonts w:ascii="@仿宋_GB2312" w:hAnsi="@仿宋_GB2312" w:eastAsia="@仿宋_GB2312" w:cs="@仿宋_GB2312"/>
      <w:sz w:val="18"/>
      <w:szCs w:val="18"/>
    </w:rPr>
  </w:style>
  <w:style w:type="character" w:customStyle="1" w:styleId="35">
    <w:name w:val="页脚 Char"/>
    <w:basedOn w:val="26"/>
    <w:link w:val="15"/>
    <w:qFormat/>
    <w:uiPriority w:val="99"/>
    <w:rPr>
      <w:rFonts w:ascii="@仿宋_GB2312" w:hAnsi="@仿宋_GB2312" w:eastAsia="@仿宋_GB2312" w:cs="@仿宋_GB2312"/>
      <w:sz w:val="18"/>
      <w:szCs w:val="18"/>
    </w:rPr>
  </w:style>
  <w:style w:type="character" w:customStyle="1" w:styleId="36">
    <w:name w:val="纯文本 Char"/>
    <w:link w:val="12"/>
    <w:qFormat/>
    <w:uiPriority w:val="0"/>
    <w:rPr>
      <w:rFonts w:ascii="宋体" w:hAnsi="Courier New"/>
    </w:rPr>
  </w:style>
  <w:style w:type="character" w:customStyle="1" w:styleId="37">
    <w:name w:val="纯文本 字符1"/>
    <w:basedOn w:val="26"/>
    <w:qFormat/>
    <w:uiPriority w:val="99"/>
    <w:rPr>
      <w:rFonts w:ascii="宋体" w:hAnsi="Courier New" w:cs="Courier New"/>
      <w:szCs w:val="20"/>
    </w:rPr>
  </w:style>
  <w:style w:type="character" w:customStyle="1" w:styleId="38">
    <w:name w:val="未处理的提及1"/>
    <w:basedOn w:val="26"/>
    <w:qFormat/>
    <w:uiPriority w:val="99"/>
    <w:rPr>
      <w:color w:val="605E5C"/>
      <w:shd w:val="clear" w:color="auto" w:fill="E1DFDD"/>
    </w:rPr>
  </w:style>
  <w:style w:type="paragraph" w:styleId="39">
    <w:name w:val="List Paragraph"/>
    <w:basedOn w:val="1"/>
    <w:qFormat/>
    <w:uiPriority w:val="34"/>
    <w:pPr>
      <w:ind w:firstLine="420" w:firstLineChars="200"/>
    </w:pPr>
  </w:style>
  <w:style w:type="paragraph" w:customStyle="1" w:styleId="40">
    <w:name w:val="Char Char Char Char Char Char Char1 Char"/>
    <w:basedOn w:val="1"/>
    <w:qFormat/>
    <w:uiPriority w:val="0"/>
    <w:rPr>
      <w:rFonts w:ascii="Arial" w:hAnsi="Arial" w:eastAsia="宋体" w:cs="Arial"/>
      <w:sz w:val="24"/>
    </w:rPr>
  </w:style>
  <w:style w:type="table" w:customStyle="1" w:styleId="41">
    <w:name w:val="网格表 1 浅色1"/>
    <w:basedOn w:val="24"/>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2">
    <w:name w:val="日期 字符"/>
    <w:basedOn w:val="26"/>
    <w:qFormat/>
    <w:uiPriority w:val="99"/>
    <w:rPr>
      <w:rFonts w:ascii="@仿宋_GB2312" w:hAnsi="@仿宋_GB2312" w:eastAsia="@仿宋_GB2312" w:cs="@仿宋_GB2312"/>
      <w:szCs w:val="20"/>
    </w:rPr>
  </w:style>
  <w:style w:type="character" w:customStyle="1" w:styleId="43">
    <w:name w:val="日期 Char"/>
    <w:link w:val="13"/>
    <w:qFormat/>
    <w:uiPriority w:val="0"/>
    <w:rPr>
      <w:rFonts w:ascii="Arial" w:hAnsi="Arial" w:eastAsia="宋体" w:cs="Arial"/>
      <w:b/>
      <w:sz w:val="28"/>
      <w:szCs w:val="20"/>
    </w:rPr>
  </w:style>
  <w:style w:type="character" w:customStyle="1" w:styleId="44">
    <w:name w:val="纯文本 Char1"/>
    <w:qFormat/>
    <w:uiPriority w:val="99"/>
    <w:rPr>
      <w:rFonts w:ascii="Arial" w:hAnsi="Arial" w:eastAsia="Arial"/>
      <w:kern w:val="2"/>
      <w:sz w:val="21"/>
      <w:lang w:val="en-US" w:eastAsia="zh-CN" w:bidi="ar-SA"/>
    </w:rPr>
  </w:style>
  <w:style w:type="character" w:customStyle="1" w:styleId="45">
    <w:name w:val="批注文字 Char"/>
    <w:basedOn w:val="26"/>
    <w:qFormat/>
    <w:uiPriority w:val="99"/>
    <w:rPr>
      <w:rFonts w:ascii="@仿宋_GB2312" w:hAnsi="@仿宋_GB2312" w:eastAsia="@仿宋_GB2312" w:cs="@仿宋_GB2312"/>
      <w:szCs w:val="20"/>
    </w:rPr>
  </w:style>
  <w:style w:type="character" w:customStyle="1" w:styleId="46">
    <w:name w:val="批注文字 Char1"/>
    <w:link w:val="7"/>
    <w:qFormat/>
    <w:uiPriority w:val="0"/>
    <w:rPr>
      <w:rFonts w:ascii="Arial" w:hAnsi="Arial" w:eastAsia="黑体" w:cs="Arial"/>
      <w:szCs w:val="20"/>
    </w:rPr>
  </w:style>
  <w:style w:type="character" w:customStyle="1" w:styleId="47">
    <w:name w:val="标题 1 Char"/>
    <w:basedOn w:val="26"/>
    <w:link w:val="2"/>
    <w:qFormat/>
    <w:uiPriority w:val="9"/>
    <w:rPr>
      <w:rFonts w:ascii="@仿宋_GB2312" w:hAnsi="@仿宋_GB2312" w:eastAsia="@仿宋_GB2312" w:cs="@仿宋_GB2312"/>
      <w:b/>
      <w:bCs/>
      <w:kern w:val="44"/>
      <w:sz w:val="44"/>
      <w:szCs w:val="44"/>
    </w:rPr>
  </w:style>
  <w:style w:type="paragraph" w:customStyle="1" w:styleId="48">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49">
    <w:name w:val="标题 3 Char"/>
    <w:basedOn w:val="26"/>
    <w:link w:val="4"/>
    <w:qFormat/>
    <w:uiPriority w:val="9"/>
    <w:rPr>
      <w:rFonts w:ascii="@仿宋_GB2312" w:hAnsi="@仿宋_GB2312" w:eastAsia="@仿宋_GB2312" w:cs="@仿宋_GB2312"/>
      <w:b/>
      <w:bCs/>
      <w:sz w:val="32"/>
      <w:szCs w:val="32"/>
    </w:rPr>
  </w:style>
  <w:style w:type="character" w:customStyle="1" w:styleId="50">
    <w:name w:val="fontstyle01"/>
    <w:basedOn w:val="26"/>
    <w:qFormat/>
    <w:uiPriority w:val="0"/>
    <w:rPr>
      <w:rFonts w:hint="eastAsia" w:ascii="宋体" w:hAnsi="宋体" w:eastAsia="宋体"/>
      <w:color w:val="000000"/>
      <w:sz w:val="22"/>
      <w:szCs w:val="22"/>
    </w:rPr>
  </w:style>
  <w:style w:type="character" w:customStyle="1" w:styleId="51">
    <w:name w:val="fontstyle21"/>
    <w:basedOn w:val="26"/>
    <w:qFormat/>
    <w:uiPriority w:val="0"/>
    <w:rPr>
      <w:rFonts w:hint="default" w:ascii="TimesNewRomanPSMT" w:hAnsi="TimesNewRomanPSMT"/>
      <w:color w:val="000000"/>
      <w:sz w:val="22"/>
      <w:szCs w:val="22"/>
    </w:rPr>
  </w:style>
  <w:style w:type="character" w:customStyle="1" w:styleId="5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6"/>
    <w:qFormat/>
    <w:uiPriority w:val="9"/>
    <w:rPr>
      <w:rFonts w:ascii="Cambria" w:hAnsi="Cambria" w:eastAsia="宋体" w:cs="宋体"/>
      <w:b/>
      <w:bCs/>
      <w:sz w:val="28"/>
      <w:szCs w:val="28"/>
    </w:rPr>
  </w:style>
  <w:style w:type="character" w:customStyle="1" w:styleId="54">
    <w:name w:val="标题 4 Char1"/>
    <w:link w:val="5"/>
    <w:qFormat/>
    <w:uiPriority w:val="0"/>
    <w:rPr>
      <w:rFonts w:ascii="@仿宋_GB2312" w:hAnsi="@仿宋_GB2312" w:eastAsia="@仿宋_GB2312" w:cs="@仿宋_GB2312"/>
      <w:b/>
      <w:bCs/>
      <w:sz w:val="28"/>
      <w:szCs w:val="28"/>
    </w:rPr>
  </w:style>
  <w:style w:type="character" w:customStyle="1" w:styleId="55">
    <w:name w:val="标题 4 Char"/>
    <w:qFormat/>
    <w:uiPriority w:val="0"/>
    <w:rPr>
      <w:rFonts w:ascii="Arial" w:hAnsi="Arial" w:eastAsia="Arial"/>
      <w:b/>
      <w:bCs/>
      <w:kern w:val="2"/>
      <w:sz w:val="28"/>
      <w:szCs w:val="28"/>
      <w:lang w:val="en-US" w:eastAsia="zh-CN" w:bidi="ar-SA"/>
    </w:rPr>
  </w:style>
  <w:style w:type="table" w:customStyle="1" w:styleId="56">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7">
    <w:name w:val="批注主题 Char"/>
    <w:basedOn w:val="46"/>
    <w:link w:val="21"/>
    <w:qFormat/>
    <w:uiPriority w:val="99"/>
    <w:rPr>
      <w:rFonts w:ascii="@仿宋_GB2312" w:hAnsi="@仿宋_GB2312" w:eastAsia="@仿宋_GB2312" w:cs="@仿宋_GB2312"/>
      <w:b/>
      <w:bCs/>
      <w:szCs w:val="20"/>
    </w:rPr>
  </w:style>
  <w:style w:type="table" w:customStyle="1" w:styleId="58">
    <w:name w:val="Table Normal"/>
    <w:qFormat/>
    <w:uiPriority w:val="0"/>
    <w:tblPr>
      <w:tblCellMar>
        <w:top w:w="0" w:type="dxa"/>
        <w:left w:w="0" w:type="dxa"/>
        <w:bottom w:w="0" w:type="dxa"/>
        <w:right w:w="0" w:type="dxa"/>
      </w:tblCellMar>
    </w:tblPr>
  </w:style>
  <w:style w:type="paragraph" w:customStyle="1" w:styleId="59">
    <w:name w:val="Table Text"/>
    <w:basedOn w:val="1"/>
    <w:qFormat/>
    <w:uiPriority w:val="0"/>
    <w:rPr>
      <w:rFonts w:ascii="Arial" w:hAnsi="Arial" w:eastAsia="Arial" w:cs="Arial"/>
      <w:sz w:val="21"/>
      <w:szCs w:val="21"/>
      <w:lang w:val="en-US" w:eastAsia="en-US" w:bidi="ar-SA"/>
    </w:rPr>
  </w:style>
  <w:style w:type="paragraph" w:customStyle="1" w:styleId="6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1">
    <w:name w:val="列出段落1"/>
    <w:basedOn w:val="1"/>
    <w:qFormat/>
    <w:uiPriority w:val="0"/>
    <w:pPr>
      <w:ind w:firstLine="420" w:firstLineChars="200"/>
    </w:pPr>
    <w:rPr>
      <w:szCs w:val="21"/>
    </w:rPr>
  </w:style>
  <w:style w:type="paragraph" w:customStyle="1" w:styleId="62">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3">
    <w:name w:val="text-tag1"/>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41</Pages>
  <Words>8419</Words>
  <Characters>8921</Characters>
  <Paragraphs>1417</Paragraphs>
  <TotalTime>118</TotalTime>
  <ScaleCrop>false</ScaleCrop>
  <LinksUpToDate>false</LinksUpToDate>
  <CharactersWithSpaces>9127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越努力越幸运</cp:lastModifiedBy>
  <cp:lastPrinted>2019-12-07T15:18:00Z</cp:lastPrinted>
  <dcterms:modified xsi:type="dcterms:W3CDTF">2026-03-23T02:12:24Z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3DF15FF99BBD4B049EAD95AD6FE0F9B8_13</vt:lpwstr>
  </property>
  <property fmtid="{D5CDD505-2E9C-101B-9397-08002B2CF9AE}" pid="4" name="KSOTemplateDocerSaveRecord">
    <vt:lpwstr>eyJoZGlkIjoiYjNjMGY0YjYwNjljZWJmMzA0NjVkZTgzYWI2ZTFlN2YiLCJ1c2VySWQiOiI0ODI4OTk0MDMifQ==</vt:lpwstr>
  </property>
</Properties>
</file>