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5D6D2">
      <w:pPr>
        <w:tabs>
          <w:tab w:val="left" w:pos="315"/>
          <w:tab w:val="left" w:pos="8820"/>
        </w:tabs>
        <w:spacing w:before="312" w:beforeLines="100" w:after="156" w:afterLines="50" w:line="500" w:lineRule="exact"/>
        <w:ind w:right="267" w:rightChars="127"/>
        <w:rPr>
          <w:rFonts w:hint="eastAsia" w:ascii="宋体" w:hAnsi="宋体" w:eastAsia="宋体" w:cs="宋体"/>
          <w:b/>
          <w:bCs/>
          <w:color w:val="000000" w:themeColor="text1"/>
          <w:sz w:val="52"/>
          <w:szCs w:val="52"/>
          <w14:textFill>
            <w14:solidFill>
              <w14:schemeClr w14:val="tx1"/>
            </w14:solidFill>
          </w14:textFill>
        </w:rPr>
      </w:pPr>
    </w:p>
    <w:p w14:paraId="3FCEEF62">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52"/>
          <w:szCs w:val="52"/>
          <w14:textFill>
            <w14:solidFill>
              <w14:schemeClr w14:val="tx1"/>
            </w14:solidFill>
          </w14:textFill>
        </w:rPr>
      </w:pPr>
      <w:bookmarkStart w:id="0" w:name="_Hlk9544796"/>
    </w:p>
    <w:p w14:paraId="00C26C2E">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52"/>
          <w:szCs w:val="52"/>
          <w14:textFill>
            <w14:solidFill>
              <w14:schemeClr w14:val="tx1"/>
            </w14:solidFill>
          </w14:textFill>
        </w:rPr>
      </w:pPr>
      <w:r>
        <w:rPr>
          <w:rFonts w:hint="eastAsia" w:ascii="宋体" w:hAnsi="宋体" w:eastAsia="宋体" w:cs="宋体"/>
          <w:b/>
          <w:bCs/>
          <w:color w:val="000000" w:themeColor="text1"/>
          <w:sz w:val="52"/>
          <w:szCs w:val="52"/>
          <w14:textFill>
            <w14:solidFill>
              <w14:schemeClr w14:val="tx1"/>
            </w14:solidFill>
          </w14:textFill>
        </w:rPr>
        <w:t>安徽省政府采购项目</w:t>
      </w:r>
    </w:p>
    <w:p w14:paraId="3DBCD191">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52"/>
          <w:szCs w:val="52"/>
          <w14:textFill>
            <w14:solidFill>
              <w14:schemeClr w14:val="tx1"/>
            </w14:solidFill>
          </w14:textFill>
        </w:rPr>
      </w:pPr>
      <w:r>
        <w:rPr>
          <w:rFonts w:hint="eastAsia" w:ascii="宋体" w:hAnsi="宋体" w:eastAsia="宋体" w:cs="宋体"/>
          <w:b/>
          <w:bCs/>
          <w:color w:val="000000" w:themeColor="text1"/>
          <w:sz w:val="52"/>
          <w:szCs w:val="52"/>
          <w14:textFill>
            <w14:solidFill>
              <w14:schemeClr w14:val="tx1"/>
            </w14:solidFill>
          </w14:textFill>
        </w:rPr>
        <w:t>公开招标文件示范文本</w:t>
      </w:r>
      <w:bookmarkEnd w:id="0"/>
      <w:r>
        <w:rPr>
          <w:rFonts w:hint="eastAsia" w:ascii="宋体" w:hAnsi="宋体" w:eastAsia="宋体" w:cs="宋体"/>
          <w:b/>
          <w:bCs/>
          <w:color w:val="000000" w:themeColor="text1"/>
          <w:sz w:val="52"/>
          <w:szCs w:val="52"/>
          <w14:textFill>
            <w14:solidFill>
              <w14:schemeClr w14:val="tx1"/>
            </w14:solidFill>
          </w14:textFill>
        </w:rPr>
        <w:t>（服务类）</w:t>
      </w:r>
    </w:p>
    <w:p w14:paraId="0FC06BA4">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52"/>
          <w:szCs w:val="52"/>
          <w14:textFill>
            <w14:solidFill>
              <w14:schemeClr w14:val="tx1"/>
            </w14:solidFill>
          </w14:textFill>
        </w:rPr>
      </w:pPr>
      <w:r>
        <w:rPr>
          <w:rFonts w:hint="eastAsia" w:ascii="宋体" w:hAnsi="宋体" w:eastAsia="宋体" w:cs="宋体"/>
          <w:b/>
          <w:bCs/>
          <w:color w:val="000000" w:themeColor="text1"/>
          <w:sz w:val="52"/>
          <w:szCs w:val="52"/>
          <w14:textFill>
            <w14:solidFill>
              <w14:schemeClr w14:val="tx1"/>
            </w14:solidFill>
          </w14:textFill>
        </w:rPr>
        <w:t>（2024年版）</w:t>
      </w:r>
    </w:p>
    <w:p w14:paraId="63EE27DA">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项目编号：CZCDC-XJK-2026004</w:t>
      </w:r>
    </w:p>
    <w:p w14:paraId="427BB5A7">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44"/>
          <w:szCs w:val="44"/>
          <w14:textFill>
            <w14:solidFill>
              <w14:schemeClr w14:val="tx1"/>
            </w14:solidFill>
          </w14:textFill>
        </w:rPr>
      </w:pPr>
    </w:p>
    <w:p w14:paraId="1EF4B13F">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44"/>
          <w:szCs w:val="44"/>
          <w14:textFill>
            <w14:solidFill>
              <w14:schemeClr w14:val="tx1"/>
            </w14:solidFill>
          </w14:textFill>
        </w:rPr>
      </w:pPr>
    </w:p>
    <w:p w14:paraId="2C406EBE">
      <w:pPr>
        <w:rPr>
          <w:rFonts w:hint="eastAsia" w:ascii="宋体" w:hAnsi="宋体" w:eastAsia="宋体" w:cs="宋体"/>
          <w:color w:val="000000" w:themeColor="text1"/>
          <w14:textFill>
            <w14:solidFill>
              <w14:schemeClr w14:val="tx1"/>
            </w14:solidFill>
          </w14:textFill>
        </w:rPr>
      </w:pPr>
    </w:p>
    <w:p w14:paraId="3EE532FC">
      <w:pPr>
        <w:pStyle w:val="10"/>
        <w:rPr>
          <w:rFonts w:hint="eastAsia"/>
          <w:color w:val="000000" w:themeColor="text1"/>
          <w14:textFill>
            <w14:solidFill>
              <w14:schemeClr w14:val="tx1"/>
            </w14:solidFill>
          </w14:textFill>
        </w:rPr>
      </w:pPr>
    </w:p>
    <w:p w14:paraId="79E1BDB8">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000000" w:themeColor="text1"/>
          <w:sz w:val="44"/>
          <w:szCs w:val="44"/>
          <w14:textFill>
            <w14:solidFill>
              <w14:schemeClr w14:val="tx1"/>
            </w14:solidFill>
          </w14:textFill>
        </w:rPr>
      </w:pPr>
    </w:p>
    <w:p w14:paraId="64382351">
      <w:pPr>
        <w:tabs>
          <w:tab w:val="left" w:pos="315"/>
          <w:tab w:val="left" w:pos="8820"/>
        </w:tabs>
        <w:spacing w:before="312" w:beforeLines="100" w:after="156" w:afterLines="50" w:line="500" w:lineRule="exact"/>
        <w:ind w:right="267" w:rightChars="127"/>
        <w:rPr>
          <w:rFonts w:hint="eastAsia" w:ascii="宋体" w:hAnsi="宋体" w:eastAsia="宋体" w:cs="宋体"/>
          <w:b/>
          <w:bCs/>
          <w:color w:val="000000" w:themeColor="text1"/>
          <w:sz w:val="44"/>
          <w:szCs w:val="44"/>
          <w14:textFill>
            <w14:solidFill>
              <w14:schemeClr w14:val="tx1"/>
            </w14:solidFill>
          </w14:textFill>
        </w:rPr>
      </w:pPr>
    </w:p>
    <w:p w14:paraId="58AFD4C8">
      <w:pPr>
        <w:pStyle w:val="27"/>
        <w:rPr>
          <w:color w:val="000000" w:themeColor="text1"/>
          <w14:textFill>
            <w14:solidFill>
              <w14:schemeClr w14:val="tx1"/>
            </w14:solidFill>
          </w14:textFill>
        </w:rPr>
      </w:pPr>
    </w:p>
    <w:p w14:paraId="6C82EE3F">
      <w:pPr>
        <w:tabs>
          <w:tab w:val="left" w:pos="2410"/>
        </w:tabs>
        <w:autoSpaceDE w:val="0"/>
        <w:autoSpaceDN w:val="0"/>
        <w:adjustRightInd w:val="0"/>
        <w:snapToGrid w:val="0"/>
        <w:spacing w:line="700" w:lineRule="exact"/>
        <w:ind w:left="1706" w:hanging="1706" w:hangingChars="500"/>
        <w:rPr>
          <w:rFonts w:hint="eastAsia" w:ascii="宋体" w:hAnsi="宋体" w:eastAsia="宋体" w:cs="宋体"/>
          <w:b/>
          <w:color w:val="000000" w:themeColor="text1"/>
          <w:spacing w:val="20"/>
          <w:kern w:val="0"/>
          <w:sz w:val="15"/>
          <w:szCs w:val="15"/>
          <w14:textFill>
            <w14:solidFill>
              <w14:schemeClr w14:val="tx1"/>
            </w14:solidFill>
          </w14:textFill>
        </w:rPr>
      </w:pPr>
      <w:r>
        <w:rPr>
          <w:rFonts w:hint="eastAsia" w:ascii="宋体" w:hAnsi="宋体" w:eastAsia="宋体" w:cs="宋体"/>
          <w:b/>
          <w:color w:val="000000" w:themeColor="text1"/>
          <w:spacing w:val="20"/>
          <w:kern w:val="0"/>
          <w:sz w:val="30"/>
          <w:szCs w:val="30"/>
          <w14:textFill>
            <w14:solidFill>
              <w14:schemeClr w14:val="tx1"/>
            </w14:solidFill>
          </w14:textFill>
        </w:rPr>
        <w:t>项目名称：</w:t>
      </w:r>
      <w:r>
        <w:rPr>
          <w:rFonts w:hint="eastAsia" w:ascii="宋体" w:hAnsi="宋体" w:eastAsia="宋体" w:cs="宋体"/>
          <w:b/>
          <w:color w:val="000000" w:themeColor="text1"/>
          <w:spacing w:val="20"/>
          <w:kern w:val="0"/>
          <w:sz w:val="32"/>
          <w:szCs w:val="32"/>
          <w:u w:val="single"/>
          <w14:textFill>
            <w14:solidFill>
              <w14:schemeClr w14:val="tx1"/>
            </w14:solidFill>
          </w14:textFill>
        </w:rPr>
        <w:t>健康素养66条科普视频（AI场景式健康科普连续剧）项目</w:t>
      </w:r>
    </w:p>
    <w:p w14:paraId="75FACECF">
      <w:pPr>
        <w:tabs>
          <w:tab w:val="left" w:pos="2410"/>
        </w:tabs>
        <w:autoSpaceDE w:val="0"/>
        <w:autoSpaceDN w:val="0"/>
        <w:adjustRightInd w:val="0"/>
        <w:snapToGrid w:val="0"/>
        <w:spacing w:line="700" w:lineRule="exact"/>
        <w:rPr>
          <w:rFonts w:hint="eastAsia" w:ascii="宋体" w:hAnsi="宋体" w:eastAsia="宋体" w:cs="宋体"/>
          <w:b/>
          <w:color w:val="000000" w:themeColor="text1"/>
          <w:spacing w:val="20"/>
          <w:kern w:val="0"/>
          <w:sz w:val="30"/>
          <w:szCs w:val="30"/>
          <w14:textFill>
            <w14:solidFill>
              <w14:schemeClr w14:val="tx1"/>
            </w14:solidFill>
          </w14:textFill>
        </w:rPr>
      </w:pPr>
      <w:r>
        <w:rPr>
          <w:rFonts w:hint="eastAsia" w:ascii="宋体" w:hAnsi="宋体" w:eastAsia="宋体" w:cs="宋体"/>
          <w:b/>
          <w:color w:val="000000" w:themeColor="text1"/>
          <w:spacing w:val="20"/>
          <w:kern w:val="0"/>
          <w:sz w:val="30"/>
          <w:szCs w:val="30"/>
          <w14:textFill>
            <w14:solidFill>
              <w14:schemeClr w14:val="tx1"/>
            </w14:solidFill>
          </w14:textFill>
        </w:rPr>
        <w:t>采 购 人：</w:t>
      </w:r>
      <w:r>
        <w:rPr>
          <w:rFonts w:hint="eastAsia" w:ascii="宋体" w:hAnsi="宋体" w:eastAsia="宋体" w:cs="宋体"/>
          <w:b/>
          <w:color w:val="000000" w:themeColor="text1"/>
          <w:spacing w:val="20"/>
          <w:kern w:val="0"/>
          <w:sz w:val="30"/>
          <w:szCs w:val="30"/>
          <w:u w:val="single"/>
          <w14:textFill>
            <w14:solidFill>
              <w14:schemeClr w14:val="tx1"/>
            </w14:solidFill>
          </w14:textFill>
        </w:rPr>
        <w:t xml:space="preserve">          滁州市疾病预防控制中心               </w:t>
      </w:r>
    </w:p>
    <w:p w14:paraId="31DCD901">
      <w:pPr>
        <w:tabs>
          <w:tab w:val="left" w:pos="2410"/>
        </w:tabs>
        <w:autoSpaceDE w:val="0"/>
        <w:autoSpaceDN w:val="0"/>
        <w:adjustRightInd w:val="0"/>
        <w:snapToGrid w:val="0"/>
        <w:spacing w:line="700" w:lineRule="exact"/>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b/>
          <w:color w:val="000000" w:themeColor="text1"/>
          <w:spacing w:val="20"/>
          <w:kern w:val="0"/>
          <w:sz w:val="30"/>
          <w:szCs w:val="30"/>
          <w14:textFill>
            <w14:solidFill>
              <w14:schemeClr w14:val="tx1"/>
            </w14:solidFill>
          </w14:textFill>
        </w:rPr>
        <w:t>采购代理机构：</w:t>
      </w:r>
      <w:r>
        <w:rPr>
          <w:rFonts w:hint="eastAsia" w:ascii="宋体" w:hAnsi="宋体" w:eastAsia="宋体" w:cs="宋体"/>
          <w:b/>
          <w:color w:val="000000" w:themeColor="text1"/>
          <w:spacing w:val="20"/>
          <w:kern w:val="0"/>
          <w:sz w:val="30"/>
          <w:szCs w:val="30"/>
          <w:u w:val="single"/>
          <w14:textFill>
            <w14:solidFill>
              <w14:schemeClr w14:val="tx1"/>
            </w14:solidFill>
          </w14:textFill>
        </w:rPr>
        <w:t xml:space="preserve">     安徽玖恒项目管理有限公司         </w:t>
      </w:r>
    </w:p>
    <w:p w14:paraId="007DD44F">
      <w:pPr>
        <w:tabs>
          <w:tab w:val="left" w:pos="2410"/>
        </w:tabs>
        <w:autoSpaceDE w:val="0"/>
        <w:autoSpaceDN w:val="0"/>
        <w:adjustRightInd w:val="0"/>
        <w:snapToGrid w:val="0"/>
        <w:spacing w:line="700" w:lineRule="exact"/>
        <w:jc w:val="center"/>
        <w:rPr>
          <w:rFonts w:hint="eastAsia" w:ascii="宋体" w:hAnsi="宋体" w:eastAsia="宋体" w:cs="宋体"/>
          <w:b/>
          <w:color w:val="000000" w:themeColor="text1"/>
          <w:sz w:val="36"/>
          <w14:textFill>
            <w14:solidFill>
              <w14:schemeClr w14:val="tx1"/>
            </w14:solidFill>
          </w14:textFill>
        </w:rPr>
      </w:pPr>
      <w:r>
        <w:rPr>
          <w:rFonts w:hint="eastAsia" w:ascii="宋体" w:hAnsi="宋体" w:eastAsia="宋体" w:cs="宋体"/>
          <w:b/>
          <w:color w:val="000000" w:themeColor="text1"/>
          <w:sz w:val="30"/>
          <w:szCs w:val="30"/>
          <w:u w:val="single"/>
          <w14:textFill>
            <w14:solidFill>
              <w14:schemeClr w14:val="tx1"/>
            </w14:solidFill>
          </w14:textFill>
        </w:rPr>
        <w:t>2026</w:t>
      </w:r>
      <w:r>
        <w:rPr>
          <w:rFonts w:hint="eastAsia" w:ascii="宋体" w:hAnsi="宋体" w:eastAsia="宋体" w:cs="宋体"/>
          <w:b/>
          <w:color w:val="000000" w:themeColor="text1"/>
          <w:sz w:val="30"/>
          <w:szCs w:val="30"/>
          <w14:textFill>
            <w14:solidFill>
              <w14:schemeClr w14:val="tx1"/>
            </w14:solidFill>
          </w14:textFill>
        </w:rPr>
        <w:t xml:space="preserve">年 </w:t>
      </w:r>
      <w:r>
        <w:rPr>
          <w:rFonts w:hint="eastAsia" w:ascii="宋体" w:hAnsi="宋体" w:eastAsia="宋体" w:cs="宋体"/>
          <w:b/>
          <w:color w:val="000000" w:themeColor="text1"/>
          <w:sz w:val="30"/>
          <w:szCs w:val="30"/>
          <w:u w:val="single"/>
          <w14:textFill>
            <w14:solidFill>
              <w14:schemeClr w14:val="tx1"/>
            </w14:solidFill>
          </w14:textFill>
        </w:rPr>
        <w:t>09</w:t>
      </w:r>
      <w:r>
        <w:rPr>
          <w:rFonts w:hint="eastAsia" w:ascii="宋体" w:hAnsi="宋体" w:eastAsia="宋体" w:cs="宋体"/>
          <w:b/>
          <w:color w:val="000000" w:themeColor="text1"/>
          <w:sz w:val="30"/>
          <w:szCs w:val="30"/>
          <w14:textFill>
            <w14:solidFill>
              <w14:schemeClr w14:val="tx1"/>
            </w14:solidFill>
          </w14:textFill>
        </w:rPr>
        <w:t>月</w:t>
      </w:r>
      <w:r>
        <w:rPr>
          <w:rFonts w:hint="eastAsia" w:ascii="宋体" w:hAnsi="宋体" w:eastAsia="宋体" w:cs="宋体"/>
          <w:b/>
          <w:color w:val="000000" w:themeColor="text1"/>
          <w:sz w:val="36"/>
          <w14:textFill>
            <w14:solidFill>
              <w14:schemeClr w14:val="tx1"/>
            </w14:solidFill>
          </w14:textFill>
        </w:rPr>
        <w:br w:type="page"/>
      </w:r>
    </w:p>
    <w:p w14:paraId="76467F1D">
      <w:pPr>
        <w:rPr>
          <w:rFonts w:hint="eastAsia" w:ascii="宋体" w:hAnsi="宋体" w:eastAsia="宋体" w:cs="宋体"/>
          <w:b/>
          <w:color w:val="000000" w:themeColor="text1"/>
          <w:sz w:val="28"/>
          <w14:textFill>
            <w14:solidFill>
              <w14:schemeClr w14:val="tx1"/>
            </w14:solidFill>
          </w14:textFill>
        </w:rPr>
      </w:pPr>
    </w:p>
    <w:p w14:paraId="09876005">
      <w:pPr>
        <w:tabs>
          <w:tab w:val="left" w:pos="2410"/>
        </w:tabs>
        <w:autoSpaceDE w:val="0"/>
        <w:autoSpaceDN w:val="0"/>
        <w:adjustRightInd w:val="0"/>
        <w:snapToGrid w:val="0"/>
        <w:spacing w:line="600" w:lineRule="exact"/>
        <w:jc w:val="center"/>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b/>
          <w:color w:val="000000" w:themeColor="text1"/>
          <w:sz w:val="28"/>
          <w14:textFill>
            <w14:solidFill>
              <w14:schemeClr w14:val="tx1"/>
            </w14:solidFill>
          </w14:textFill>
        </w:rPr>
        <w:t>目  录</w:t>
      </w:r>
    </w:p>
    <w:p w14:paraId="297B4ECC">
      <w:pPr>
        <w:pStyle w:val="19"/>
        <w:tabs>
          <w:tab w:val="right" w:leader="dot" w:pos="8306"/>
        </w:tabs>
        <w:spacing w:line="600" w:lineRule="exact"/>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TOC \o "1-2" \h \z \u </w:instrText>
      </w:r>
      <w:r>
        <w:rPr>
          <w:rFonts w:hint="eastAsia" w:ascii="宋体" w:hAnsi="宋体" w:eastAsia="宋体" w:cs="宋体"/>
          <w:b/>
          <w:color w:val="000000" w:themeColor="text1"/>
          <w:sz w:val="24"/>
          <w:szCs w:val="24"/>
          <w14:textFill>
            <w14:solidFill>
              <w14:schemeClr w14:val="tx1"/>
            </w14:solidFill>
          </w14:textFill>
        </w:rPr>
        <w:fldChar w:fldCharType="separate"/>
      </w:r>
      <w:r>
        <w:fldChar w:fldCharType="begin"/>
      </w:r>
      <w:r>
        <w:instrText xml:space="preserve"> HYPERLINK \l "_Toc32331" </w:instrText>
      </w:r>
      <w:r>
        <w:fldChar w:fldCharType="separate"/>
      </w:r>
      <w:r>
        <w:rPr>
          <w:rFonts w:hint="eastAsia" w:ascii="宋体" w:hAnsi="宋体" w:eastAsia="宋体" w:cs="宋体"/>
          <w:color w:val="000000" w:themeColor="text1"/>
          <w14:textFill>
            <w14:solidFill>
              <w14:schemeClr w14:val="tx1"/>
            </w14:solidFill>
          </w14:textFill>
        </w:rPr>
        <w:t>第一章  投标邀请</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p>
    <w:p w14:paraId="7A8ABDAD">
      <w:pPr>
        <w:pStyle w:val="19"/>
        <w:tabs>
          <w:tab w:val="right" w:leader="dot" w:pos="8306"/>
        </w:tabs>
        <w:spacing w:line="600" w:lineRule="exact"/>
        <w:jc w:val="center"/>
        <w:rPr>
          <w:rFonts w:hint="eastAsia" w:ascii="宋体" w:hAnsi="宋体" w:eastAsia="宋体" w:cs="宋体"/>
          <w:color w:val="000000" w:themeColor="text1"/>
          <w14:textFill>
            <w14:solidFill>
              <w14:schemeClr w14:val="tx1"/>
            </w14:solidFill>
          </w14:textFill>
        </w:rPr>
      </w:pPr>
      <w:r>
        <w:fldChar w:fldCharType="begin"/>
      </w:r>
      <w:r>
        <w:instrText xml:space="preserve"> HYPERLINK \l "_Toc8888" </w:instrText>
      </w:r>
      <w:r>
        <w:fldChar w:fldCharType="separate"/>
      </w:r>
      <w:r>
        <w:rPr>
          <w:rFonts w:hint="eastAsia" w:ascii="宋体" w:hAnsi="宋体" w:eastAsia="宋体" w:cs="宋体"/>
          <w:color w:val="000000" w:themeColor="text1"/>
          <w14:textFill>
            <w14:solidFill>
              <w14:schemeClr w14:val="tx1"/>
            </w14:solidFill>
          </w14:textFill>
        </w:rPr>
        <w:t>第二章  投标人须知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p>
    <w:p w14:paraId="379B8052">
      <w:pPr>
        <w:pStyle w:val="19"/>
        <w:tabs>
          <w:tab w:val="right" w:leader="dot" w:pos="8306"/>
        </w:tabs>
        <w:spacing w:line="600" w:lineRule="exact"/>
        <w:jc w:val="center"/>
        <w:rPr>
          <w:rFonts w:hint="eastAsia" w:ascii="宋体" w:hAnsi="宋体" w:eastAsia="宋体" w:cs="宋体"/>
          <w:color w:val="000000" w:themeColor="text1"/>
          <w14:textFill>
            <w14:solidFill>
              <w14:schemeClr w14:val="tx1"/>
            </w14:solidFill>
          </w14:textFill>
        </w:rPr>
      </w:pPr>
      <w:r>
        <w:fldChar w:fldCharType="begin"/>
      </w:r>
      <w:r>
        <w:instrText xml:space="preserve"> HYPERLINK \l "_Toc22605" </w:instrText>
      </w:r>
      <w:r>
        <w:fldChar w:fldCharType="separate"/>
      </w:r>
      <w:r>
        <w:rPr>
          <w:rFonts w:hint="eastAsia" w:ascii="宋体" w:hAnsi="宋体" w:eastAsia="宋体" w:cs="宋体"/>
          <w:color w:val="000000" w:themeColor="text1"/>
          <w14:textFill>
            <w14:solidFill>
              <w14:schemeClr w14:val="tx1"/>
            </w14:solidFill>
          </w14:textFill>
        </w:rPr>
        <w:t>第三章  采购需求</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1</w:t>
      </w:r>
    </w:p>
    <w:p w14:paraId="6396A7F9">
      <w:pPr>
        <w:pStyle w:val="19"/>
        <w:tabs>
          <w:tab w:val="right" w:leader="dot" w:pos="8306"/>
        </w:tabs>
        <w:spacing w:line="600" w:lineRule="exact"/>
        <w:jc w:val="center"/>
        <w:rPr>
          <w:rFonts w:hint="eastAsia" w:ascii="宋体" w:hAnsi="宋体" w:eastAsia="宋体" w:cs="宋体"/>
          <w:color w:val="000000" w:themeColor="text1"/>
          <w14:textFill>
            <w14:solidFill>
              <w14:schemeClr w14:val="tx1"/>
            </w14:solidFill>
          </w14:textFill>
        </w:rPr>
      </w:pPr>
      <w:r>
        <w:fldChar w:fldCharType="begin"/>
      </w:r>
      <w:r>
        <w:instrText xml:space="preserve"> HYPERLINK \l "_Toc30824" </w:instrText>
      </w:r>
      <w:r>
        <w:fldChar w:fldCharType="separate"/>
      </w:r>
      <w:r>
        <w:rPr>
          <w:rFonts w:hint="eastAsia" w:ascii="宋体" w:hAnsi="宋体" w:eastAsia="宋体" w:cs="宋体"/>
          <w:color w:val="000000" w:themeColor="text1"/>
          <w14:textFill>
            <w14:solidFill>
              <w14:schemeClr w14:val="tx1"/>
            </w14:solidFill>
          </w14:textFill>
        </w:rPr>
        <w:t>第四章  评标方法和标准（综合评分法）</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12</w:t>
      </w:r>
    </w:p>
    <w:p w14:paraId="25B6E1A9">
      <w:pPr>
        <w:pStyle w:val="19"/>
        <w:tabs>
          <w:tab w:val="right" w:leader="dot" w:pos="8306"/>
        </w:tabs>
        <w:spacing w:line="600" w:lineRule="exact"/>
        <w:jc w:val="center"/>
        <w:rPr>
          <w:rFonts w:hint="eastAsia" w:ascii="宋体" w:hAnsi="宋体" w:eastAsia="宋体" w:cs="宋体"/>
          <w:color w:val="000000" w:themeColor="text1"/>
          <w:szCs w:val="24"/>
          <w14:textFill>
            <w14:solidFill>
              <w14:schemeClr w14:val="tx1"/>
            </w14:solidFill>
          </w14:textFill>
        </w:rPr>
      </w:pPr>
      <w:r>
        <w:fldChar w:fldCharType="begin"/>
      </w:r>
      <w:r>
        <w:instrText xml:space="preserve"> HYPERLINK \l "_Toc20405" </w:instrText>
      </w:r>
      <w:r>
        <w:fldChar w:fldCharType="separate"/>
      </w:r>
      <w:r>
        <w:rPr>
          <w:rFonts w:hint="eastAsia" w:ascii="宋体" w:hAnsi="宋体" w:eastAsia="宋体" w:cs="宋体"/>
          <w:color w:val="000000" w:themeColor="text1"/>
          <w14:textFill>
            <w14:solidFill>
              <w14:schemeClr w14:val="tx1"/>
            </w14:solidFill>
          </w14:textFill>
        </w:rPr>
        <w:t>第五章  采购合同</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17</w:t>
      </w:r>
    </w:p>
    <w:p w14:paraId="73FBE0F1">
      <w:pPr>
        <w:pStyle w:val="19"/>
        <w:tabs>
          <w:tab w:val="right" w:leader="dot" w:pos="8306"/>
        </w:tabs>
        <w:spacing w:line="600" w:lineRule="exact"/>
        <w:jc w:val="center"/>
        <w:rPr>
          <w:rFonts w:hint="eastAsia" w:ascii="宋体" w:hAnsi="宋体" w:eastAsia="宋体" w:cs="宋体"/>
          <w:color w:val="000000" w:themeColor="text1"/>
          <w:szCs w:val="24"/>
          <w14:textFill>
            <w14:solidFill>
              <w14:schemeClr w14:val="tx1"/>
            </w14:solidFill>
          </w14:textFill>
        </w:rPr>
      </w:pPr>
      <w:r>
        <w:fldChar w:fldCharType="begin"/>
      </w:r>
      <w:r>
        <w:instrText xml:space="preserve"> HYPERLINK \l "_Toc13555" </w:instrText>
      </w:r>
      <w:r>
        <w:fldChar w:fldCharType="separate"/>
      </w:r>
      <w:r>
        <w:rPr>
          <w:rFonts w:hint="eastAsia" w:ascii="宋体" w:hAnsi="宋体" w:eastAsia="宋体" w:cs="宋体"/>
          <w:color w:val="000000" w:themeColor="text1"/>
          <w14:textFill>
            <w14:solidFill>
              <w14:schemeClr w14:val="tx1"/>
            </w14:solidFill>
          </w14:textFill>
        </w:rPr>
        <w:t>第六章  投标文件格式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23</w:t>
      </w:r>
    </w:p>
    <w:p w14:paraId="20F16182">
      <w:pPr>
        <w:pStyle w:val="19"/>
        <w:tabs>
          <w:tab w:val="right" w:leader="dot" w:pos="8306"/>
        </w:tabs>
        <w:spacing w:line="600" w:lineRule="exact"/>
        <w:jc w:val="center"/>
        <w:rPr>
          <w:rFonts w:hint="eastAsia" w:ascii="宋体" w:hAnsi="宋体" w:eastAsia="宋体" w:cs="宋体"/>
          <w:color w:val="000000" w:themeColor="text1"/>
          <w:szCs w:val="24"/>
          <w14:textFill>
            <w14:solidFill>
              <w14:schemeClr w14:val="tx1"/>
            </w14:solidFill>
          </w14:textFill>
        </w:rPr>
      </w:pPr>
    </w:p>
    <w:p w14:paraId="673677B0">
      <w:pPr>
        <w:spacing w:line="600" w:lineRule="exact"/>
        <w:jc w:val="center"/>
        <w:rPr>
          <w:rFonts w:hint="eastAsia" w:ascii="宋体" w:hAnsi="宋体" w:eastAsia="宋体" w:cs="宋体"/>
          <w:b/>
          <w:color w:val="000000" w:themeColor="text1"/>
          <w:sz w:val="32"/>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fldChar w:fldCharType="end"/>
      </w:r>
    </w:p>
    <w:p w14:paraId="2F9A955F">
      <w:pPr>
        <w:spacing w:line="360" w:lineRule="auto"/>
        <w:rPr>
          <w:rFonts w:hint="eastAsia" w:ascii="宋体" w:hAnsi="宋体" w:eastAsia="宋体" w:cs="宋体"/>
          <w:b/>
          <w:color w:val="000000" w:themeColor="text1"/>
          <w:sz w:val="32"/>
          <w14:textFill>
            <w14:solidFill>
              <w14:schemeClr w14:val="tx1"/>
            </w14:solidFill>
          </w14:textFill>
        </w:rPr>
      </w:pPr>
    </w:p>
    <w:p w14:paraId="58612FB5">
      <w:pPr>
        <w:spacing w:line="360" w:lineRule="auto"/>
        <w:jc w:val="center"/>
        <w:outlineLvl w:val="1"/>
        <w:rPr>
          <w:rFonts w:hint="eastAsia" w:ascii="宋体" w:hAnsi="宋体" w:eastAsia="宋体" w:cs="宋体"/>
          <w:b/>
          <w:color w:val="000000" w:themeColor="text1"/>
          <w:sz w:val="28"/>
          <w14:textFill>
            <w14:solidFill>
              <w14:schemeClr w14:val="tx1"/>
            </w14:solidFill>
          </w14:textFill>
        </w:rPr>
        <w:sectPr>
          <w:headerReference r:id="rId3" w:type="default"/>
          <w:footerReference r:id="rId4" w:type="default"/>
          <w:pgSz w:w="11906" w:h="16838"/>
          <w:pgMar w:top="1247" w:right="1417" w:bottom="1247" w:left="1417" w:header="851" w:footer="992" w:gutter="0"/>
          <w:cols w:space="425" w:num="1"/>
          <w:docGrid w:type="lines" w:linePitch="312" w:charSpace="0"/>
        </w:sectPr>
      </w:pPr>
    </w:p>
    <w:p w14:paraId="2370168F">
      <w:pPr>
        <w:keepNext/>
        <w:keepLines/>
        <w:wordWrap w:val="0"/>
        <w:spacing w:line="120" w:lineRule="auto"/>
        <w:jc w:val="center"/>
        <w:rPr>
          <w:rFonts w:hint="eastAsia" w:ascii="宋体" w:hAnsi="宋体" w:eastAsia="宋体" w:cs="宋体"/>
          <w:b/>
          <w:bCs/>
          <w:color w:val="000000" w:themeColor="text1"/>
          <w:sz w:val="28"/>
          <w:szCs w:val="28"/>
          <w:lang w:bidi="ar"/>
          <w14:textFill>
            <w14:solidFill>
              <w14:schemeClr w14:val="tx1"/>
            </w14:solidFill>
          </w14:textFill>
        </w:rPr>
      </w:pPr>
      <w:bookmarkStart w:id="1" w:name="_Toc35393621"/>
      <w:bookmarkStart w:id="2" w:name="_Toc23993"/>
      <w:bookmarkStart w:id="3" w:name="_Toc31215"/>
      <w:bookmarkStart w:id="4" w:name="_Toc28359002"/>
      <w:bookmarkStart w:id="5" w:name="_Toc28359079"/>
      <w:bookmarkStart w:id="6" w:name="_Toc35393790"/>
      <w:bookmarkStart w:id="7" w:name="_Toc11704"/>
      <w:bookmarkStart w:id="8" w:name="_Hlk24379207"/>
      <w:bookmarkStart w:id="9" w:name="_Toc31518"/>
      <w:bookmarkStart w:id="10" w:name="_Toc1381"/>
      <w:r>
        <w:rPr>
          <w:rFonts w:hint="eastAsia" w:ascii="宋体" w:hAnsi="宋体" w:eastAsia="宋体" w:cs="宋体"/>
          <w:b/>
          <w:bCs/>
          <w:color w:val="000000" w:themeColor="text1"/>
          <w:sz w:val="28"/>
          <w:szCs w:val="28"/>
          <w:lang w:bidi="ar"/>
          <w14:textFill>
            <w14:solidFill>
              <w14:schemeClr w14:val="tx1"/>
            </w14:solidFill>
          </w14:textFill>
        </w:rPr>
        <w:t>第一章  投标邀请</w:t>
      </w:r>
    </w:p>
    <w:p w14:paraId="1E1E43B1">
      <w:pPr>
        <w:keepNext/>
        <w:keepLines/>
        <w:wordWrap w:val="0"/>
        <w:spacing w:line="500" w:lineRule="exact"/>
        <w:ind w:firstLine="482" w:firstLineChars="200"/>
        <w:jc w:val="left"/>
        <w:rPr>
          <w:rFonts w:hint="eastAsia" w:ascii="仿宋" w:hAnsi="仿宋" w:eastAsia="仿宋" w:cs="仿宋"/>
          <w:b/>
          <w:bCs/>
          <w:color w:val="000000" w:themeColor="text1"/>
          <w:sz w:val="24"/>
          <w:szCs w:val="24"/>
          <w:lang w:bidi="ar"/>
          <w14:textFill>
            <w14:solidFill>
              <w14:schemeClr w14:val="tx1"/>
            </w14:solidFill>
          </w14:textFill>
        </w:rPr>
      </w:pPr>
      <w:r>
        <w:rPr>
          <w:rFonts w:hint="eastAsia" w:ascii="仿宋" w:hAnsi="仿宋" w:eastAsia="仿宋" w:cs="仿宋"/>
          <w:b/>
          <w:bCs/>
          <w:color w:val="000000" w:themeColor="text1"/>
          <w:sz w:val="24"/>
          <w:szCs w:val="24"/>
          <w:lang w:bidi="ar"/>
          <w14:textFill>
            <w14:solidFill>
              <w14:schemeClr w14:val="tx1"/>
            </w14:solidFill>
          </w14:textFill>
        </w:rPr>
        <w:t>项目概况</w:t>
      </w:r>
    </w:p>
    <w:p w14:paraId="0A17ABAE">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健康素养66条科普视频（AI场景式健康科普连续剧）项目</w:t>
      </w:r>
      <w:r>
        <w:rPr>
          <w:rFonts w:hint="eastAsia" w:ascii="仿宋" w:hAnsi="仿宋" w:eastAsia="仿宋" w:cs="仿宋"/>
          <w:color w:val="000000" w:themeColor="text1"/>
          <w:sz w:val="24"/>
          <w:szCs w:val="24"/>
          <w:lang w:bidi="ar"/>
          <w14:textFill>
            <w14:solidFill>
              <w14:schemeClr w14:val="tx1"/>
            </w14:solidFill>
          </w14:textFill>
        </w:rPr>
        <w:t xml:space="preserve">的潜在投标人应在滁州市疾病预防控制中心网站（http://www.ahczcdc.cn/）上获取招标文件，并于 </w:t>
      </w:r>
      <w:r>
        <w:rPr>
          <w:rFonts w:hint="eastAsia" w:ascii="仿宋" w:hAnsi="仿宋" w:eastAsia="仿宋" w:cs="仿宋"/>
          <w:color w:val="000000" w:themeColor="text1"/>
          <w:sz w:val="24"/>
          <w:szCs w:val="24"/>
          <w:u w:val="single"/>
          <w:lang w:bidi="ar"/>
          <w14:textFill>
            <w14:solidFill>
              <w14:schemeClr w14:val="tx1"/>
            </w14:solidFill>
          </w14:textFill>
        </w:rPr>
        <w:t>2026年9月10日17时00分</w:t>
      </w:r>
      <w:r>
        <w:rPr>
          <w:rFonts w:hint="eastAsia" w:ascii="仿宋" w:hAnsi="仿宋" w:eastAsia="仿宋" w:cs="仿宋"/>
          <w:color w:val="000000" w:themeColor="text1"/>
          <w:sz w:val="24"/>
          <w:szCs w:val="24"/>
          <w:lang w:bidi="ar"/>
          <w14:textFill>
            <w14:solidFill>
              <w14:schemeClr w14:val="tx1"/>
            </w14:solidFill>
          </w14:textFill>
        </w:rPr>
        <w:t>（北京时间）前将响应文件送达或邮寄至滁州市疾病预防控制中心。</w:t>
      </w:r>
    </w:p>
    <w:p w14:paraId="4921E589">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一、项目基本情况</w:t>
      </w:r>
      <w:bookmarkEnd w:id="1"/>
      <w:bookmarkEnd w:id="2"/>
      <w:bookmarkEnd w:id="3"/>
      <w:bookmarkEnd w:id="4"/>
      <w:bookmarkEnd w:id="5"/>
      <w:bookmarkEnd w:id="6"/>
      <w:bookmarkEnd w:id="7"/>
    </w:p>
    <w:bookmarkEnd w:id="8"/>
    <w:p w14:paraId="346FA2DE">
      <w:pPr>
        <w:keepNext/>
        <w:keepLines/>
        <w:wordWrap w:val="0"/>
        <w:spacing w:line="500" w:lineRule="exact"/>
        <w:ind w:right="-313" w:rightChars="-149"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bookmarkStart w:id="11" w:name="_Toc28359080"/>
      <w:bookmarkStart w:id="12" w:name="_Toc35393791"/>
      <w:bookmarkStart w:id="13" w:name="_Toc4879"/>
      <w:bookmarkStart w:id="14" w:name="_Toc28004"/>
      <w:bookmarkStart w:id="15" w:name="_Toc28359003"/>
      <w:bookmarkStart w:id="16" w:name="_Toc35393622"/>
      <w:r>
        <w:rPr>
          <w:rFonts w:hint="eastAsia" w:ascii="仿宋" w:hAnsi="仿宋" w:eastAsia="仿宋" w:cs="仿宋"/>
          <w:color w:val="000000" w:themeColor="text1"/>
          <w:sz w:val="24"/>
          <w:szCs w:val="24"/>
          <w:lang w:bidi="ar"/>
          <w14:textFill>
            <w14:solidFill>
              <w14:schemeClr w14:val="tx1"/>
            </w14:solidFill>
          </w14:textFill>
        </w:rPr>
        <w:t>项目名称：健康素养66条科普视频（AI场景式健康科普连续剧）项目</w:t>
      </w:r>
    </w:p>
    <w:p w14:paraId="39C80048">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项目编号：CZCDC-XJK-2026004</w:t>
      </w:r>
    </w:p>
    <w:p w14:paraId="48BF97A2">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预算金额：9万元</w:t>
      </w:r>
    </w:p>
    <w:p w14:paraId="7928F4A5">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最高限价：9万元</w:t>
      </w:r>
    </w:p>
    <w:p w14:paraId="333E5321">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采购需求：详见第三章《采购需求》</w:t>
      </w:r>
    </w:p>
    <w:p w14:paraId="7907F61F">
      <w:pPr>
        <w:keepNext/>
        <w:keepLines/>
        <w:wordWrap w:val="0"/>
        <w:spacing w:line="500" w:lineRule="exact"/>
        <w:ind w:right="-313" w:rightChars="-149"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合同履行期限：自合同签订起五个月内完成全部制作及验收。</w:t>
      </w:r>
    </w:p>
    <w:p w14:paraId="4179FAFF">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本项目不接受联合体。</w:t>
      </w:r>
    </w:p>
    <w:p w14:paraId="7F9EECAA">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bookmarkStart w:id="17" w:name="_Toc30013"/>
      <w:r>
        <w:rPr>
          <w:rFonts w:hint="eastAsia" w:ascii="黑体" w:hAnsi="黑体" w:eastAsia="黑体" w:cs="黑体"/>
          <w:color w:val="000000" w:themeColor="text1"/>
          <w:sz w:val="24"/>
          <w:szCs w:val="24"/>
          <w14:textFill>
            <w14:solidFill>
              <w14:schemeClr w14:val="tx1"/>
            </w14:solidFill>
          </w14:textFill>
        </w:rPr>
        <w:t>二、申请人的资格要求：</w:t>
      </w:r>
      <w:bookmarkEnd w:id="11"/>
      <w:bookmarkEnd w:id="12"/>
      <w:bookmarkEnd w:id="13"/>
      <w:bookmarkEnd w:id="14"/>
      <w:bookmarkEnd w:id="15"/>
      <w:bookmarkEnd w:id="16"/>
      <w:bookmarkEnd w:id="17"/>
    </w:p>
    <w:p w14:paraId="0EEA2268">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bookmarkStart w:id="18" w:name="_Toc28359004"/>
      <w:bookmarkStart w:id="19" w:name="_Toc28359081"/>
      <w:r>
        <w:rPr>
          <w:rFonts w:hint="eastAsia" w:ascii="仿宋" w:hAnsi="仿宋" w:eastAsia="仿宋" w:cs="仿宋"/>
          <w:color w:val="000000" w:themeColor="text1"/>
          <w:sz w:val="24"/>
          <w:szCs w:val="24"/>
          <w:lang w:bidi="ar"/>
          <w14:textFill>
            <w14:solidFill>
              <w14:schemeClr w14:val="tx1"/>
            </w14:solidFill>
          </w14:textFill>
        </w:rPr>
        <w:t>1.</w:t>
      </w:r>
      <w:bookmarkStart w:id="20" w:name="_Toc35393623"/>
      <w:bookmarkStart w:id="21" w:name="_Toc2689"/>
      <w:bookmarkStart w:id="22" w:name="_Toc7189"/>
      <w:bookmarkStart w:id="23" w:name="_Toc35393792"/>
      <w:bookmarkStart w:id="24" w:name="_Toc28172"/>
      <w:r>
        <w:rPr>
          <w:rFonts w:hint="eastAsia" w:ascii="仿宋" w:hAnsi="仿宋" w:eastAsia="仿宋" w:cs="仿宋"/>
          <w:color w:val="000000" w:themeColor="text1"/>
          <w:sz w:val="24"/>
          <w:szCs w:val="24"/>
          <w:lang w:bidi="ar"/>
          <w14:textFill>
            <w14:solidFill>
              <w14:schemeClr w14:val="tx1"/>
            </w14:solidFill>
          </w14:textFill>
        </w:rPr>
        <w:t>满足《中华人民共和国政府采购法》第二十二条规定；</w:t>
      </w:r>
    </w:p>
    <w:p w14:paraId="4736B1F1">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2.信誉要求：投标人存在以下情形之一的，不得被确定为中标人。</w:t>
      </w:r>
    </w:p>
    <w:p w14:paraId="1855534E">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①被列入“信用中国”网站“失信被执行人”的；</w:t>
      </w:r>
    </w:p>
    <w:p w14:paraId="1C698844">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②被列入“信用中国”网站“重大税收违法失信主体”的；</w:t>
      </w:r>
    </w:p>
    <w:p w14:paraId="179D63A2">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③被列入“信用中国”网站“拖欠农民工工资失信联合惩戒对象名单”的；</w:t>
      </w:r>
    </w:p>
    <w:p w14:paraId="0C0409E8">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④被列入“信用中国”网站 “严重失信主体名单”的；</w:t>
      </w:r>
    </w:p>
    <w:p w14:paraId="11FCCAC6">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⑤在“信用中国”网站上披露的仍在公示期的严重失信行为（具体行为类别及判定依据见招标文件附件2）的。</w:t>
      </w:r>
    </w:p>
    <w:p w14:paraId="29FBB7F7">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⑥被列入国家企业信用信息公示系统网站“经营异常名录”或者“严重违法失信名单”的。</w:t>
      </w:r>
    </w:p>
    <w:p w14:paraId="38CD54C0">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bookmarkStart w:id="25" w:name="OLE_LINK2"/>
      <w:r>
        <w:rPr>
          <w:rFonts w:hint="eastAsia" w:ascii="仿宋" w:hAnsi="仿宋" w:eastAsia="仿宋" w:cs="仿宋"/>
          <w:color w:val="000000" w:themeColor="text1"/>
          <w:sz w:val="24"/>
          <w:szCs w:val="24"/>
          <w:lang w:bidi="ar"/>
          <w14:textFill>
            <w14:solidFill>
              <w14:schemeClr w14:val="tx1"/>
            </w14:solidFill>
          </w14:textFill>
        </w:rPr>
        <w:t>⑦</w:t>
      </w:r>
      <w:bookmarkEnd w:id="25"/>
      <w:r>
        <w:rPr>
          <w:rFonts w:hint="eastAsia" w:ascii="仿宋" w:hAnsi="仿宋" w:eastAsia="仿宋" w:cs="仿宋"/>
          <w:color w:val="000000" w:themeColor="text1"/>
          <w:sz w:val="24"/>
          <w:szCs w:val="24"/>
          <w:lang w:bidi="ar"/>
          <w14:textFill>
            <w14:solidFill>
              <w14:schemeClr w14:val="tx1"/>
            </w14:solidFill>
          </w14:textFill>
        </w:rPr>
        <w:t>前三年有行贿犯罪行为的单位和个人。</w:t>
      </w:r>
    </w:p>
    <w:p w14:paraId="3839114F">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3.投标人所属分公司、办事处等分支机构存在第</w:t>
      </w:r>
      <w:r>
        <w:rPr>
          <w:rFonts w:hint="eastAsia" w:ascii="仿宋" w:hAnsi="仿宋" w:eastAsia="仿宋" w:cs="仿宋"/>
          <w:color w:val="000000" w:themeColor="text1"/>
          <w:sz w:val="24"/>
          <w:szCs w:val="24"/>
          <w:lang w:val="en-US" w:eastAsia="zh-CN" w:bidi="ar"/>
          <w14:textFill>
            <w14:solidFill>
              <w14:schemeClr w14:val="tx1"/>
            </w14:solidFill>
          </w14:textFill>
        </w:rPr>
        <w:t>2</w:t>
      </w:r>
      <w:bookmarkStart w:id="274" w:name="_GoBack"/>
      <w:bookmarkEnd w:id="274"/>
      <w:r>
        <w:rPr>
          <w:rFonts w:hint="eastAsia" w:ascii="仿宋" w:hAnsi="仿宋" w:eastAsia="仿宋" w:cs="仿宋"/>
          <w:color w:val="000000" w:themeColor="text1"/>
          <w:sz w:val="24"/>
          <w:szCs w:val="24"/>
          <w:lang w:bidi="ar"/>
          <w14:textFill>
            <w14:solidFill>
              <w14:schemeClr w14:val="tx1"/>
            </w14:solidFill>
          </w14:textFill>
        </w:rPr>
        <w:t>款信誉要求①-⑦项情形之一的，接受其被确定为中标人。</w:t>
      </w:r>
    </w:p>
    <w:p w14:paraId="0059C916">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备注：第2、3条按照招标文件附件1“关于联合惩戒失信行为加强信用查询管理的通知”查询或承诺。</w:t>
      </w:r>
    </w:p>
    <w:p w14:paraId="0F840C1D">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三、获取</w:t>
      </w:r>
      <w:bookmarkEnd w:id="18"/>
      <w:bookmarkEnd w:id="19"/>
      <w:bookmarkEnd w:id="20"/>
      <w:bookmarkEnd w:id="21"/>
      <w:bookmarkEnd w:id="22"/>
      <w:bookmarkEnd w:id="23"/>
      <w:bookmarkEnd w:id="24"/>
      <w:r>
        <w:rPr>
          <w:rFonts w:hint="eastAsia" w:ascii="黑体" w:hAnsi="黑体" w:eastAsia="黑体" w:cs="黑体"/>
          <w:color w:val="000000" w:themeColor="text1"/>
          <w:sz w:val="24"/>
          <w:szCs w:val="24"/>
          <w14:textFill>
            <w14:solidFill>
              <w14:schemeClr w14:val="tx1"/>
            </w14:solidFill>
          </w14:textFill>
        </w:rPr>
        <w:t>招标文件</w:t>
      </w:r>
    </w:p>
    <w:p w14:paraId="57D17413">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bookmarkStart w:id="26" w:name="_Toc35393624"/>
      <w:bookmarkStart w:id="27" w:name="_Toc28359082"/>
      <w:bookmarkStart w:id="28" w:name="_Toc23486"/>
      <w:bookmarkStart w:id="29" w:name="_Toc19139"/>
      <w:bookmarkStart w:id="30" w:name="_Toc35393793"/>
      <w:bookmarkStart w:id="31" w:name="_Toc6135"/>
      <w:bookmarkStart w:id="32" w:name="_Toc28359005"/>
      <w:r>
        <w:rPr>
          <w:rFonts w:hint="eastAsia" w:ascii="仿宋" w:hAnsi="仿宋" w:eastAsia="仿宋" w:cs="仿宋"/>
          <w:color w:val="000000" w:themeColor="text1"/>
          <w:sz w:val="24"/>
          <w:szCs w:val="24"/>
          <w:lang w:bidi="ar"/>
          <w14:textFill>
            <w14:solidFill>
              <w14:schemeClr w14:val="tx1"/>
            </w14:solidFill>
          </w14:textFill>
        </w:rPr>
        <w:t>时间：2026年9月2日至2026年9月11日</w:t>
      </w:r>
    </w:p>
    <w:p w14:paraId="195EE64F">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地点：滁州市疾病预防控制中心网站（http://www.ahczcdc.cn/）</w:t>
      </w:r>
    </w:p>
    <w:p w14:paraId="68B635D8">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方式：网上下载</w:t>
      </w:r>
    </w:p>
    <w:p w14:paraId="313C94CF">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售价：0元</w:t>
      </w:r>
    </w:p>
    <w:p w14:paraId="7C258DE8">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四、</w:t>
      </w:r>
      <w:bookmarkEnd w:id="26"/>
      <w:bookmarkEnd w:id="27"/>
      <w:bookmarkEnd w:id="28"/>
      <w:bookmarkEnd w:id="29"/>
      <w:bookmarkEnd w:id="30"/>
      <w:bookmarkEnd w:id="31"/>
      <w:bookmarkEnd w:id="32"/>
      <w:r>
        <w:rPr>
          <w:rFonts w:hint="eastAsia" w:ascii="黑体" w:hAnsi="黑体" w:eastAsia="黑体" w:cs="黑体"/>
          <w:color w:val="000000" w:themeColor="text1"/>
          <w:sz w:val="24"/>
          <w:szCs w:val="24"/>
          <w14:textFill>
            <w14:solidFill>
              <w14:schemeClr w14:val="tx1"/>
            </w14:solidFill>
          </w14:textFill>
        </w:rPr>
        <w:t>响应文件提交</w:t>
      </w:r>
    </w:p>
    <w:p w14:paraId="47C1ECC6">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截止时间：2026年9月10日17时00分（北京时间）</w:t>
      </w:r>
    </w:p>
    <w:p w14:paraId="75A54C8E">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收 件 人：滁州市疾病预防控制中心（综合业务科）</w:t>
      </w:r>
    </w:p>
    <w:p w14:paraId="6176E19D">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联 系 人：张勇     联系电话：18019819099</w:t>
      </w:r>
    </w:p>
    <w:p w14:paraId="28BA31F5">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地    点：安徽省滁州市会峰西路669-1号三楼</w:t>
      </w:r>
    </w:p>
    <w:p w14:paraId="0A1B4964">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提交方式：送达或邮寄（邮寄方式提交的，以快递到达收件人时间为准）</w:t>
      </w:r>
    </w:p>
    <w:p w14:paraId="53DB3C72">
      <w:pPr>
        <w:keepNext/>
        <w:keepLines/>
        <w:numPr>
          <w:ilvl w:val="0"/>
          <w:numId w:val="2"/>
        </w:numPr>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开启</w:t>
      </w:r>
    </w:p>
    <w:p w14:paraId="1CAAC752">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时间：2026年9月11日9时00分（北京时间）</w:t>
      </w:r>
    </w:p>
    <w:p w14:paraId="5EAD4976">
      <w:pPr>
        <w:keepNext/>
        <w:keepLines/>
        <w:wordWrap w:val="0"/>
        <w:spacing w:line="500" w:lineRule="exact"/>
        <w:ind w:firstLine="480" w:firstLineChars="200"/>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地点：滁州市疾控中心三楼会议室</w:t>
      </w:r>
    </w:p>
    <w:p w14:paraId="38E8284E">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六、投标保证金金额及缴纳账户</w:t>
      </w:r>
    </w:p>
    <w:p w14:paraId="3D5F1C84">
      <w:pPr>
        <w:widowControl/>
        <w:spacing w:line="500" w:lineRule="exact"/>
        <w:ind w:firstLine="480" w:firstLineChars="200"/>
        <w:jc w:val="left"/>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是否要求投标人提交投标保证金：不要求。</w:t>
      </w:r>
    </w:p>
    <w:p w14:paraId="04D5C82D">
      <w:pPr>
        <w:keepNext/>
        <w:keepLines/>
        <w:spacing w:before="20" w:after="20" w:line="500" w:lineRule="exact"/>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七、对本次招标提出询问，请按以下方式联系</w:t>
      </w:r>
    </w:p>
    <w:p w14:paraId="186D201F">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1.采购人信息</w:t>
      </w:r>
    </w:p>
    <w:p w14:paraId="2D75FA76">
      <w:pPr>
        <w:widowControl/>
        <w:spacing w:line="500" w:lineRule="exact"/>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名称：滁州市疾病预防控制中心</w:t>
      </w:r>
    </w:p>
    <w:p w14:paraId="2216595C">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地址：安徽省滁州市会峰西路669-1号</w:t>
      </w:r>
    </w:p>
    <w:p w14:paraId="4E6EE5C1">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联系方式：</w:t>
      </w:r>
      <w:bookmarkStart w:id="33" w:name="_Toc28359086"/>
      <w:bookmarkStart w:id="34" w:name="_Toc28359009"/>
      <w:r>
        <w:rPr>
          <w:rFonts w:hint="eastAsia" w:ascii="仿宋" w:hAnsi="仿宋" w:eastAsia="仿宋" w:cs="仿宋"/>
          <w:color w:val="000000" w:themeColor="text1"/>
          <w:sz w:val="24"/>
          <w:szCs w:val="24"/>
          <w14:textFill>
            <w14:solidFill>
              <w14:schemeClr w14:val="tx1"/>
            </w14:solidFill>
          </w14:textFill>
        </w:rPr>
        <w:t xml:space="preserve">张勇   18019819099  </w:t>
      </w:r>
    </w:p>
    <w:p w14:paraId="0F70F3F5">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2.采购代理机构信息</w:t>
      </w:r>
      <w:bookmarkEnd w:id="33"/>
      <w:bookmarkEnd w:id="34"/>
    </w:p>
    <w:p w14:paraId="7B4BC57B">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bookmarkStart w:id="35" w:name="_Toc28359010"/>
      <w:bookmarkStart w:id="36" w:name="_Toc28359087"/>
      <w:r>
        <w:rPr>
          <w:rFonts w:hint="eastAsia" w:ascii="仿宋" w:hAnsi="仿宋" w:eastAsia="仿宋" w:cs="仿宋"/>
          <w:color w:val="000000" w:themeColor="text1"/>
          <w:sz w:val="24"/>
          <w:szCs w:val="24"/>
          <w14:textFill>
            <w14:solidFill>
              <w14:schemeClr w14:val="tx1"/>
            </w14:solidFill>
          </w14:textFill>
        </w:rPr>
        <w:t>名称：安徽玖恒项目管理有限公司</w:t>
      </w:r>
    </w:p>
    <w:p w14:paraId="24E40AD4">
      <w:pPr>
        <w:widowControl/>
        <w:spacing w:line="50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地址：滁州市南谯区港汇中心B座1508室</w:t>
      </w:r>
    </w:p>
    <w:p w14:paraId="5B802654">
      <w:pPr>
        <w:widowControl/>
        <w:spacing w:line="500" w:lineRule="exact"/>
        <w:ind w:firstLine="480" w:firstLineChars="200"/>
        <w:jc w:val="left"/>
        <w:rPr>
          <w:rFonts w:hint="eastAsia" w:ascii="宋体" w:hAnsi="宋体" w:eastAsia="宋体" w:cs="宋体"/>
          <w:b/>
          <w:color w:val="000000" w:themeColor="text1"/>
          <w:sz w:val="28"/>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联系方式：周艳</w:t>
      </w:r>
      <w:bookmarkEnd w:id="35"/>
      <w:bookmarkEnd w:id="36"/>
      <w:r>
        <w:rPr>
          <w:rFonts w:hint="eastAsia" w:ascii="仿宋" w:hAnsi="仿宋" w:eastAsia="仿宋" w:cs="仿宋"/>
          <w:color w:val="000000" w:themeColor="text1"/>
          <w:sz w:val="24"/>
          <w:szCs w:val="24"/>
          <w14:textFill>
            <w14:solidFill>
              <w14:schemeClr w14:val="tx1"/>
            </w14:solidFill>
          </w14:textFill>
        </w:rPr>
        <w:t xml:space="preserve">   13739207971</w:t>
      </w:r>
      <w:bookmarkEnd w:id="9"/>
      <w:bookmarkEnd w:id="10"/>
      <w:bookmarkStart w:id="37" w:name="_Toc8888"/>
      <w:r>
        <w:rPr>
          <w:rFonts w:hint="eastAsia" w:ascii="宋体" w:hAnsi="宋体" w:eastAsia="宋体" w:cs="宋体"/>
          <w:b/>
          <w:color w:val="000000" w:themeColor="text1"/>
          <w:sz w:val="28"/>
          <w14:textFill>
            <w14:solidFill>
              <w14:schemeClr w14:val="tx1"/>
            </w14:solidFill>
          </w14:textFill>
        </w:rPr>
        <w:br w:type="page"/>
      </w:r>
    </w:p>
    <w:p w14:paraId="5E4B5103">
      <w:pPr>
        <w:spacing w:line="360" w:lineRule="auto"/>
        <w:jc w:val="center"/>
        <w:outlineLvl w:val="0"/>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b/>
          <w:color w:val="000000" w:themeColor="text1"/>
          <w:sz w:val="28"/>
          <w14:textFill>
            <w14:solidFill>
              <w14:schemeClr w14:val="tx1"/>
            </w14:solidFill>
          </w14:textFill>
        </w:rPr>
        <w:t>第二章  投标人须知</w:t>
      </w:r>
      <w:bookmarkEnd w:id="37"/>
    </w:p>
    <w:p w14:paraId="0A6FBA88">
      <w:pPr>
        <w:jc w:val="center"/>
        <w:outlineLvl w:val="1"/>
        <w:rPr>
          <w:rFonts w:hint="eastAsia" w:ascii="宋体" w:hAnsi="宋体" w:eastAsia="宋体" w:cs="宋体"/>
          <w:b/>
          <w:color w:val="000000" w:themeColor="text1"/>
          <w:sz w:val="24"/>
          <w14:textFill>
            <w14:solidFill>
              <w14:schemeClr w14:val="tx1"/>
            </w14:solidFill>
          </w14:textFill>
        </w:rPr>
      </w:pPr>
      <w:bookmarkStart w:id="38" w:name="_Toc7178"/>
      <w:bookmarkStart w:id="39" w:name="_Toc13589"/>
      <w:r>
        <w:rPr>
          <w:rFonts w:hint="eastAsia" w:ascii="宋体" w:hAnsi="宋体" w:eastAsia="宋体" w:cs="宋体"/>
          <w:b/>
          <w:color w:val="000000" w:themeColor="text1"/>
          <w:sz w:val="24"/>
          <w14:textFill>
            <w14:solidFill>
              <w14:schemeClr w14:val="tx1"/>
            </w14:solidFill>
          </w14:textFill>
        </w:rPr>
        <w:t>一、投标人须知前附表</w:t>
      </w:r>
      <w:bookmarkEnd w:id="38"/>
      <w:bookmarkEnd w:id="39"/>
    </w:p>
    <w:p w14:paraId="7B53B018">
      <w:pPr>
        <w:kinsoku w:val="0"/>
        <w:overflowPunct w:val="0"/>
        <w:autoSpaceDE w:val="0"/>
        <w:autoSpaceDN w:val="0"/>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注：</w:t>
      </w:r>
      <w:r>
        <w:rPr>
          <w:rFonts w:hint="eastAsia" w:ascii="宋体" w:hAnsi="宋体" w:eastAsia="宋体" w:cs="宋体"/>
          <w:color w:val="000000" w:themeColor="text1"/>
          <w:szCs w:val="21"/>
          <w14:textFill>
            <w14:solidFill>
              <w14:schemeClr w14:val="tx1"/>
            </w14:solidFill>
          </w14:textFill>
        </w:rPr>
        <w:t>本表是本项目的具体要求，是对投标人须知的具体补充和修改，如有不一致，以本表为准。</w:t>
      </w:r>
    </w:p>
    <w:tbl>
      <w:tblPr>
        <w:tblStyle w:val="28"/>
        <w:tblW w:w="9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529"/>
        <w:gridCol w:w="6411"/>
      </w:tblGrid>
      <w:tr w14:paraId="1292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54978DDE">
            <w:pPr>
              <w:pStyle w:val="46"/>
              <w:widowControl w:val="0"/>
              <w:kinsoku w:val="0"/>
              <w:overflowPunct w:val="0"/>
              <w:autoSpaceDE w:val="0"/>
              <w:autoSpaceDN w:val="0"/>
              <w:spacing w:before="0" w:beforeAutospacing="0" w:after="0" w:afterAutospacing="0" w:line="360" w:lineRule="exact"/>
              <w:rPr>
                <w:rFonts w:hint="eastAsia" w:ascii="宋体" w:hAnsi="宋体" w:eastAsia="宋体" w:cs="宋体"/>
                <w:bCs w:val="0"/>
                <w:color w:val="000000" w:themeColor="text1"/>
                <w:kern w:val="2"/>
                <w:sz w:val="21"/>
                <w:szCs w:val="21"/>
                <w14:textFill>
                  <w14:solidFill>
                    <w14:schemeClr w14:val="tx1"/>
                  </w14:solidFill>
                </w14:textFill>
              </w:rPr>
            </w:pPr>
            <w:r>
              <w:rPr>
                <w:rFonts w:hint="eastAsia" w:ascii="宋体" w:hAnsi="宋体" w:eastAsia="宋体" w:cs="宋体"/>
                <w:bCs w:val="0"/>
                <w:color w:val="000000" w:themeColor="text1"/>
                <w:kern w:val="2"/>
                <w:sz w:val="21"/>
                <w:szCs w:val="21"/>
                <w14:textFill>
                  <w14:solidFill>
                    <w14:schemeClr w14:val="tx1"/>
                  </w14:solidFill>
                </w14:textFill>
              </w:rPr>
              <w:t>序号</w:t>
            </w:r>
          </w:p>
        </w:tc>
        <w:tc>
          <w:tcPr>
            <w:tcW w:w="2529" w:type="dxa"/>
            <w:vAlign w:val="center"/>
          </w:tcPr>
          <w:p w14:paraId="552A4EF2">
            <w:pPr>
              <w:pStyle w:val="46"/>
              <w:widowControl w:val="0"/>
              <w:kinsoku w:val="0"/>
              <w:overflowPunct w:val="0"/>
              <w:autoSpaceDE w:val="0"/>
              <w:autoSpaceDN w:val="0"/>
              <w:spacing w:before="0" w:beforeAutospacing="0" w:after="0" w:afterAutospacing="0" w:line="360" w:lineRule="exact"/>
              <w:rPr>
                <w:rFonts w:hint="eastAsia" w:ascii="宋体" w:hAnsi="宋体" w:eastAsia="宋体" w:cs="宋体"/>
                <w:bCs w:val="0"/>
                <w:color w:val="000000" w:themeColor="text1"/>
                <w:kern w:val="2"/>
                <w:sz w:val="21"/>
                <w:szCs w:val="21"/>
                <w14:textFill>
                  <w14:solidFill>
                    <w14:schemeClr w14:val="tx1"/>
                  </w14:solidFill>
                </w14:textFill>
              </w:rPr>
            </w:pPr>
            <w:r>
              <w:rPr>
                <w:rFonts w:hint="eastAsia" w:ascii="宋体" w:hAnsi="宋体" w:eastAsia="宋体" w:cs="宋体"/>
                <w:bCs w:val="0"/>
                <w:color w:val="000000" w:themeColor="text1"/>
                <w:kern w:val="2"/>
                <w:sz w:val="21"/>
                <w:szCs w:val="21"/>
                <w14:textFill>
                  <w14:solidFill>
                    <w14:schemeClr w14:val="tx1"/>
                  </w14:solidFill>
                </w14:textFill>
              </w:rPr>
              <w:t>条款名称</w:t>
            </w:r>
          </w:p>
        </w:tc>
        <w:tc>
          <w:tcPr>
            <w:tcW w:w="6411" w:type="dxa"/>
            <w:vAlign w:val="center"/>
          </w:tcPr>
          <w:p w14:paraId="532376D3">
            <w:pPr>
              <w:pStyle w:val="46"/>
              <w:widowControl w:val="0"/>
              <w:kinsoku w:val="0"/>
              <w:overflowPunct w:val="0"/>
              <w:autoSpaceDE w:val="0"/>
              <w:autoSpaceDN w:val="0"/>
              <w:spacing w:before="0" w:beforeAutospacing="0" w:after="0" w:afterAutospacing="0" w:line="360" w:lineRule="exact"/>
              <w:rPr>
                <w:rFonts w:hint="eastAsia" w:ascii="宋体" w:hAnsi="宋体" w:eastAsia="宋体" w:cs="宋体"/>
                <w:bCs w:val="0"/>
                <w:color w:val="000000" w:themeColor="text1"/>
                <w:kern w:val="2"/>
                <w:sz w:val="21"/>
                <w:szCs w:val="21"/>
                <w14:textFill>
                  <w14:solidFill>
                    <w14:schemeClr w14:val="tx1"/>
                  </w14:solidFill>
                </w14:textFill>
              </w:rPr>
            </w:pPr>
            <w:r>
              <w:rPr>
                <w:rFonts w:hint="eastAsia" w:ascii="宋体" w:hAnsi="宋体" w:eastAsia="宋体" w:cs="宋体"/>
                <w:bCs w:val="0"/>
                <w:color w:val="000000" w:themeColor="text1"/>
                <w:kern w:val="2"/>
                <w:sz w:val="21"/>
                <w:szCs w:val="21"/>
                <w14:textFill>
                  <w14:solidFill>
                    <w14:schemeClr w14:val="tx1"/>
                  </w14:solidFill>
                </w14:textFill>
              </w:rPr>
              <w:t>内容、说明与要求</w:t>
            </w:r>
          </w:p>
        </w:tc>
      </w:tr>
      <w:tr w14:paraId="24BE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1465E1EE">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w:t>
            </w:r>
          </w:p>
        </w:tc>
        <w:tc>
          <w:tcPr>
            <w:tcW w:w="2529" w:type="dxa"/>
            <w:vAlign w:val="center"/>
          </w:tcPr>
          <w:p w14:paraId="23991EAF">
            <w:pPr>
              <w:pStyle w:val="46"/>
              <w:widowControl w:val="0"/>
              <w:kinsoku w:val="0"/>
              <w:overflowPunct w:val="0"/>
              <w:autoSpaceDE w:val="0"/>
              <w:autoSpaceDN w:val="0"/>
              <w:spacing w:before="0" w:beforeAutospacing="0" w:after="0" w:afterAutospacing="0" w:line="360" w:lineRule="exact"/>
              <w:jc w:val="left"/>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kern w:val="2"/>
                <w:sz w:val="21"/>
                <w:szCs w:val="21"/>
                <w14:textFill>
                  <w14:solidFill>
                    <w14:schemeClr w14:val="tx1"/>
                  </w14:solidFill>
                </w14:textFill>
              </w:rPr>
              <w:t>现场考察或标前答疑会</w:t>
            </w:r>
          </w:p>
        </w:tc>
        <w:tc>
          <w:tcPr>
            <w:tcW w:w="6411" w:type="dxa"/>
            <w:vAlign w:val="center"/>
          </w:tcPr>
          <w:p w14:paraId="443AF465">
            <w:pPr>
              <w:kinsoku w:val="0"/>
              <w:overflowPunct w:val="0"/>
              <w:autoSpaceDE w:val="0"/>
              <w:autoSpaceDN w:val="0"/>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不组织或不召开</w:t>
            </w:r>
          </w:p>
        </w:tc>
      </w:tr>
      <w:tr w14:paraId="15DF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3DEDEC6D">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2</w:t>
            </w:r>
          </w:p>
        </w:tc>
        <w:tc>
          <w:tcPr>
            <w:tcW w:w="2529" w:type="dxa"/>
            <w:vAlign w:val="center"/>
          </w:tcPr>
          <w:p w14:paraId="6B93ED15">
            <w:pPr>
              <w:pStyle w:val="46"/>
              <w:widowControl w:val="0"/>
              <w:kinsoku w:val="0"/>
              <w:overflowPunct w:val="0"/>
              <w:autoSpaceDE w:val="0"/>
              <w:autoSpaceDN w:val="0"/>
              <w:spacing w:before="0" w:beforeAutospacing="0" w:after="0" w:afterAutospacing="0" w:line="360" w:lineRule="exact"/>
              <w:jc w:val="left"/>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包别划分</w:t>
            </w:r>
          </w:p>
        </w:tc>
        <w:tc>
          <w:tcPr>
            <w:tcW w:w="6411" w:type="dxa"/>
            <w:vAlign w:val="center"/>
          </w:tcPr>
          <w:p w14:paraId="24FB3684">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不分包     □分为</w:t>
            </w:r>
            <w:r>
              <w:rPr>
                <w:rFonts w:hint="eastAsia" w:ascii="宋体" w:hAnsi="宋体" w:eastAsia="宋体" w:cs="宋体"/>
                <w:b w:val="0"/>
                <w:color w:val="000000" w:themeColor="text1"/>
                <w:sz w:val="21"/>
                <w:szCs w:val="21"/>
                <w:u w:val="single"/>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个包</w:t>
            </w:r>
          </w:p>
          <w:p w14:paraId="54673168">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u w:val="single"/>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投标人对多个包进行投标的中标包数规定：</w:t>
            </w:r>
            <w:r>
              <w:rPr>
                <w:rFonts w:hint="eastAsia" w:ascii="宋体" w:hAnsi="宋体" w:eastAsia="宋体" w:cs="宋体"/>
                <w:b w:val="0"/>
                <w:bCs w:val="0"/>
                <w:color w:val="000000" w:themeColor="text1"/>
                <w:sz w:val="21"/>
                <w:szCs w:val="21"/>
                <w:u w:val="single"/>
                <w14:textFill>
                  <w14:solidFill>
                    <w14:schemeClr w14:val="tx1"/>
                  </w14:solidFill>
                </w14:textFill>
              </w:rPr>
              <w:t xml:space="preserve"> / </w:t>
            </w:r>
          </w:p>
        </w:tc>
      </w:tr>
      <w:tr w14:paraId="6E12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2FA41741">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3</w:t>
            </w:r>
          </w:p>
        </w:tc>
        <w:tc>
          <w:tcPr>
            <w:tcW w:w="2529" w:type="dxa"/>
            <w:vAlign w:val="center"/>
          </w:tcPr>
          <w:p w14:paraId="451CEBA2">
            <w:pPr>
              <w:pStyle w:val="46"/>
              <w:widowControl w:val="0"/>
              <w:kinsoku w:val="0"/>
              <w:overflowPunct w:val="0"/>
              <w:autoSpaceDE w:val="0"/>
              <w:autoSpaceDN w:val="0"/>
              <w:spacing w:before="0" w:beforeAutospacing="0" w:after="0" w:afterAutospacing="0" w:line="360" w:lineRule="exact"/>
              <w:jc w:val="left"/>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投标保证金</w:t>
            </w:r>
          </w:p>
        </w:tc>
        <w:tc>
          <w:tcPr>
            <w:tcW w:w="6411" w:type="dxa"/>
            <w:vAlign w:val="center"/>
          </w:tcPr>
          <w:p w14:paraId="01888996">
            <w:pPr>
              <w:kinsoku w:val="0"/>
              <w:overflowPunct w:val="0"/>
              <w:autoSpaceDE w:val="0"/>
              <w:autoSpaceDN w:val="0"/>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不收取</w:t>
            </w:r>
          </w:p>
        </w:tc>
      </w:tr>
      <w:tr w14:paraId="5B2A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66A4156A">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4</w:t>
            </w:r>
          </w:p>
        </w:tc>
        <w:tc>
          <w:tcPr>
            <w:tcW w:w="2529" w:type="dxa"/>
            <w:vAlign w:val="center"/>
          </w:tcPr>
          <w:p w14:paraId="3FD66870">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投标有效期</w:t>
            </w:r>
          </w:p>
        </w:tc>
        <w:tc>
          <w:tcPr>
            <w:tcW w:w="6411" w:type="dxa"/>
            <w:vAlign w:val="center"/>
          </w:tcPr>
          <w:p w14:paraId="1F715DDE">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u w:val="single"/>
                <w14:textFill>
                  <w14:solidFill>
                    <w14:schemeClr w14:val="tx1"/>
                  </w14:solidFill>
                </w14:textFill>
              </w:rPr>
              <w:t>90</w:t>
            </w:r>
            <w:r>
              <w:rPr>
                <w:rFonts w:hint="eastAsia" w:ascii="宋体" w:hAnsi="宋体" w:eastAsia="宋体" w:cs="宋体"/>
                <w:b w:val="0"/>
                <w:color w:val="000000" w:themeColor="text1"/>
                <w:sz w:val="21"/>
                <w:szCs w:val="21"/>
                <w14:textFill>
                  <w14:solidFill>
                    <w14:schemeClr w14:val="tx1"/>
                  </w14:solidFill>
                </w14:textFill>
              </w:rPr>
              <w:t>日历日</w:t>
            </w:r>
          </w:p>
        </w:tc>
      </w:tr>
      <w:tr w14:paraId="26D6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12C3F45A">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5</w:t>
            </w:r>
          </w:p>
        </w:tc>
        <w:tc>
          <w:tcPr>
            <w:tcW w:w="2529" w:type="dxa"/>
            <w:vAlign w:val="center"/>
          </w:tcPr>
          <w:p w14:paraId="0281D5F9">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投标文件递交截止时间及地点</w:t>
            </w:r>
          </w:p>
        </w:tc>
        <w:tc>
          <w:tcPr>
            <w:tcW w:w="6411" w:type="dxa"/>
            <w:vAlign w:val="center"/>
          </w:tcPr>
          <w:p w14:paraId="49FA6A8D">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见《</w:t>
            </w:r>
            <w:r>
              <w:rPr>
                <w:rFonts w:ascii="宋体" w:hAnsi="宋体" w:eastAsia="宋体" w:cs="宋体"/>
                <w:b w:val="0"/>
                <w:color w:val="000000" w:themeColor="text1"/>
                <w:sz w:val="21"/>
                <w:szCs w:val="21"/>
                <w14:textFill>
                  <w14:solidFill>
                    <w14:schemeClr w14:val="tx1"/>
                  </w14:solidFill>
                </w14:textFill>
              </w:rPr>
              <w:t>投标邀请</w:t>
            </w:r>
            <w:r>
              <w:rPr>
                <w:rFonts w:hint="eastAsia" w:ascii="宋体" w:hAnsi="宋体" w:eastAsia="宋体" w:cs="宋体"/>
                <w:b w:val="0"/>
                <w:color w:val="000000" w:themeColor="text1"/>
                <w:sz w:val="21"/>
                <w:szCs w:val="21"/>
                <w14:textFill>
                  <w14:solidFill>
                    <w14:schemeClr w14:val="tx1"/>
                  </w14:solidFill>
                </w14:textFill>
              </w:rPr>
              <w:t>》</w:t>
            </w:r>
          </w:p>
        </w:tc>
      </w:tr>
      <w:tr w14:paraId="303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0FE45C55">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6</w:t>
            </w:r>
          </w:p>
        </w:tc>
        <w:tc>
          <w:tcPr>
            <w:tcW w:w="2529" w:type="dxa"/>
            <w:vAlign w:val="center"/>
          </w:tcPr>
          <w:p w14:paraId="46B6E3C6">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投标文件开启时间及地点</w:t>
            </w:r>
          </w:p>
        </w:tc>
        <w:tc>
          <w:tcPr>
            <w:tcW w:w="6411" w:type="dxa"/>
            <w:vAlign w:val="center"/>
          </w:tcPr>
          <w:p w14:paraId="714CF3ED">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同投标文件递交截止时间及地点</w:t>
            </w:r>
          </w:p>
        </w:tc>
      </w:tr>
      <w:tr w14:paraId="3F05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3D6AA574">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7</w:t>
            </w:r>
          </w:p>
        </w:tc>
        <w:tc>
          <w:tcPr>
            <w:tcW w:w="2529" w:type="dxa"/>
            <w:vAlign w:val="center"/>
          </w:tcPr>
          <w:p w14:paraId="3F5A1B86">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投标文件份数</w:t>
            </w:r>
          </w:p>
        </w:tc>
        <w:tc>
          <w:tcPr>
            <w:tcW w:w="6411" w:type="dxa"/>
            <w:vAlign w:val="center"/>
          </w:tcPr>
          <w:p w14:paraId="7EDEA8FC">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Cs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正本一份、副本二份</w:t>
            </w:r>
          </w:p>
        </w:tc>
      </w:tr>
      <w:tr w14:paraId="7CB1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5C803542">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8</w:t>
            </w:r>
          </w:p>
        </w:tc>
        <w:tc>
          <w:tcPr>
            <w:tcW w:w="2529" w:type="dxa"/>
            <w:vAlign w:val="center"/>
          </w:tcPr>
          <w:p w14:paraId="3D87FFA4">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投标文件密封及装订要求</w:t>
            </w:r>
          </w:p>
        </w:tc>
        <w:tc>
          <w:tcPr>
            <w:tcW w:w="6411" w:type="dxa"/>
            <w:vAlign w:val="center"/>
          </w:tcPr>
          <w:p w14:paraId="2567082D">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Cs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资信证明文件正副本密封在资信证明文件袋内，技术标文件正副本密封在技术标文件袋内，商务标文件正副本密封在商务标文件袋内。</w:t>
            </w:r>
          </w:p>
        </w:tc>
      </w:tr>
      <w:tr w14:paraId="7C33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3F72EFEA">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9</w:t>
            </w:r>
          </w:p>
        </w:tc>
        <w:tc>
          <w:tcPr>
            <w:tcW w:w="2529" w:type="dxa"/>
            <w:vAlign w:val="center"/>
          </w:tcPr>
          <w:p w14:paraId="376AAF76">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评标方法</w:t>
            </w:r>
          </w:p>
        </w:tc>
        <w:tc>
          <w:tcPr>
            <w:tcW w:w="6411" w:type="dxa"/>
            <w:vAlign w:val="center"/>
          </w:tcPr>
          <w:p w14:paraId="12DA1856">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最低评标价法</w:t>
            </w:r>
          </w:p>
          <w:p w14:paraId="53E4663F">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color w:val="000000" w:themeColor="text1"/>
                <w:sz w:val="21"/>
                <w:szCs w:val="21"/>
                <w14:textFill>
                  <w14:solidFill>
                    <w14:schemeClr w14:val="tx1"/>
                  </w14:solidFill>
                </w14:textFill>
              </w:rPr>
              <w:t>综合评分法</w:t>
            </w:r>
          </w:p>
        </w:tc>
      </w:tr>
      <w:tr w14:paraId="264C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57DA1502">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10</w:t>
            </w:r>
          </w:p>
        </w:tc>
        <w:tc>
          <w:tcPr>
            <w:tcW w:w="2529" w:type="dxa"/>
            <w:vAlign w:val="center"/>
          </w:tcPr>
          <w:p w14:paraId="6464E4F0">
            <w:pPr>
              <w:kinsoku w:val="0"/>
              <w:overflowPunct w:val="0"/>
              <w:autoSpaceDE w:val="0"/>
              <w:autoSpaceDN w:val="0"/>
              <w:spacing w:line="262"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评审小组的组建</w:t>
            </w:r>
          </w:p>
        </w:tc>
        <w:tc>
          <w:tcPr>
            <w:tcW w:w="6411" w:type="dxa"/>
            <w:vAlign w:val="center"/>
          </w:tcPr>
          <w:p w14:paraId="0DAFA4A8">
            <w:pPr>
              <w:kinsoku w:val="0"/>
              <w:overflowPunct w:val="0"/>
              <w:autoSpaceDE w:val="0"/>
              <w:autoSpaceDN w:val="0"/>
              <w:spacing w:line="262"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采购人依法组建</w:t>
            </w:r>
          </w:p>
        </w:tc>
      </w:tr>
      <w:tr w14:paraId="0DEB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5D6C38EA">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11</w:t>
            </w:r>
          </w:p>
        </w:tc>
        <w:tc>
          <w:tcPr>
            <w:tcW w:w="2529" w:type="dxa"/>
            <w:vAlign w:val="center"/>
          </w:tcPr>
          <w:p w14:paraId="1BD05BBA">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评标委员会推荐中标候选人的数量</w:t>
            </w:r>
          </w:p>
        </w:tc>
        <w:tc>
          <w:tcPr>
            <w:tcW w:w="6411" w:type="dxa"/>
            <w:vAlign w:val="center"/>
          </w:tcPr>
          <w:p w14:paraId="235BA592">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评标委员会推荐3名中标候选人。</w:t>
            </w:r>
          </w:p>
        </w:tc>
      </w:tr>
      <w:tr w14:paraId="6C7A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7" w:type="dxa"/>
            <w:vAlign w:val="center"/>
          </w:tcPr>
          <w:p w14:paraId="214B1529">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12</w:t>
            </w:r>
          </w:p>
        </w:tc>
        <w:tc>
          <w:tcPr>
            <w:tcW w:w="2529" w:type="dxa"/>
            <w:vAlign w:val="center"/>
          </w:tcPr>
          <w:p w14:paraId="58777F5D">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确定中标人</w:t>
            </w:r>
          </w:p>
        </w:tc>
        <w:tc>
          <w:tcPr>
            <w:tcW w:w="6411" w:type="dxa"/>
            <w:vAlign w:val="center"/>
          </w:tcPr>
          <w:p w14:paraId="7B5DF8D6">
            <w:pPr>
              <w:kinsoku w:val="0"/>
              <w:overflowPunct w:val="0"/>
              <w:autoSpaceDE w:val="0"/>
              <w:autoSpaceDN w:val="0"/>
              <w:spacing w:line="360" w:lineRule="exac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sym w:font="Wingdings" w:char="00A8"/>
            </w:r>
            <w:r>
              <w:rPr>
                <w:rFonts w:hint="eastAsia" w:ascii="宋体" w:hAnsi="宋体" w:eastAsia="宋体" w:cs="宋体"/>
                <w:color w:val="000000" w:themeColor="text1"/>
                <w:kern w:val="0"/>
                <w:szCs w:val="21"/>
                <w14:textFill>
                  <w14:solidFill>
                    <w14:schemeClr w14:val="tx1"/>
                  </w14:solidFill>
                </w14:textFill>
              </w:rPr>
              <w:t>采购人委托评标委员会确定</w:t>
            </w:r>
          </w:p>
          <w:p w14:paraId="5F2012B7">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14:textFill>
                  <w14:solidFill>
                    <w14:schemeClr w14:val="tx1"/>
                  </w14:solidFill>
                </w14:textFill>
              </w:rPr>
              <w:t>☑采购人确定</w:t>
            </w:r>
          </w:p>
        </w:tc>
      </w:tr>
      <w:tr w14:paraId="5C38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4159CBA6">
            <w:pPr>
              <w:pStyle w:val="46"/>
              <w:widowControl w:val="0"/>
              <w:kinsoku w:val="0"/>
              <w:overflowPunct w:val="0"/>
              <w:autoSpaceDE w:val="0"/>
              <w:autoSpaceDN w:val="0"/>
              <w:spacing w:before="0" w:beforeAutospacing="0" w:after="0" w:afterAutospacing="0" w:line="360" w:lineRule="exact"/>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13</w:t>
            </w:r>
          </w:p>
        </w:tc>
        <w:tc>
          <w:tcPr>
            <w:tcW w:w="2529" w:type="dxa"/>
            <w:vAlign w:val="center"/>
          </w:tcPr>
          <w:p w14:paraId="2CE6685C">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中标通知书发出的形式</w:t>
            </w:r>
          </w:p>
        </w:tc>
        <w:tc>
          <w:tcPr>
            <w:tcW w:w="6411" w:type="dxa"/>
            <w:vAlign w:val="center"/>
          </w:tcPr>
          <w:p w14:paraId="1E3E6F16">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 xml:space="preserve">☑书面     </w:t>
            </w:r>
            <w:r>
              <w:rPr>
                <w:rFonts w:hint="eastAsia" w:ascii="宋体" w:hAnsi="宋体" w:eastAsia="宋体" w:cs="宋体"/>
                <w:b w:val="0"/>
                <w:bCs w:val="0"/>
                <w:color w:val="000000" w:themeColor="text1"/>
                <w:sz w:val="21"/>
                <w:szCs w:val="21"/>
                <w14:textFill>
                  <w14:solidFill>
                    <w14:schemeClr w14:val="tx1"/>
                  </w14:solidFill>
                </w14:textFill>
              </w:rPr>
              <w:sym w:font="Wingdings" w:char="00A8"/>
            </w:r>
            <w:r>
              <w:rPr>
                <w:rFonts w:hint="eastAsia" w:ascii="宋体" w:hAnsi="宋体" w:eastAsia="宋体" w:cs="宋体"/>
                <w:b w:val="0"/>
                <w:bCs w:val="0"/>
                <w:color w:val="000000" w:themeColor="text1"/>
                <w:sz w:val="21"/>
                <w:szCs w:val="21"/>
                <w14:textFill>
                  <w14:solidFill>
                    <w14:schemeClr w14:val="tx1"/>
                  </w14:solidFill>
                </w14:textFill>
              </w:rPr>
              <w:t>数据电文</w:t>
            </w:r>
          </w:p>
        </w:tc>
      </w:tr>
      <w:tr w14:paraId="6849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780B53E6">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14</w:t>
            </w:r>
          </w:p>
        </w:tc>
        <w:tc>
          <w:tcPr>
            <w:tcW w:w="2529" w:type="dxa"/>
            <w:vAlign w:val="center"/>
          </w:tcPr>
          <w:p w14:paraId="659EA63F">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告知招标结果的形式</w:t>
            </w:r>
          </w:p>
        </w:tc>
        <w:tc>
          <w:tcPr>
            <w:tcW w:w="6411" w:type="dxa"/>
            <w:vAlign w:val="center"/>
          </w:tcPr>
          <w:p w14:paraId="125CBD4B">
            <w:pPr>
              <w:kinsoku w:val="0"/>
              <w:overflowPunct w:val="0"/>
              <w:autoSpaceDE w:val="0"/>
              <w:autoSpaceDN w:val="0"/>
              <w:spacing w:line="360" w:lineRule="exac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sym w:font="Wingdings" w:char="00A8"/>
            </w:r>
            <w:r>
              <w:rPr>
                <w:rFonts w:hint="eastAsia" w:ascii="宋体" w:hAnsi="宋体" w:eastAsia="宋体" w:cs="宋体"/>
                <w:color w:val="000000" w:themeColor="text1"/>
                <w:kern w:val="0"/>
                <w:szCs w:val="21"/>
                <w14:textFill>
                  <w14:solidFill>
                    <w14:schemeClr w14:val="tx1"/>
                  </w14:solidFill>
                </w14:textFill>
              </w:rPr>
              <w:t>投标人自行登录电子</w:t>
            </w:r>
            <w:r>
              <w:rPr>
                <w:rFonts w:hint="eastAsia" w:ascii="宋体" w:hAnsi="宋体" w:eastAsia="宋体" w:cs="宋体"/>
                <w:color w:val="000000" w:themeColor="text1"/>
                <w:szCs w:val="21"/>
                <w14:textFill>
                  <w14:solidFill>
                    <w14:schemeClr w14:val="tx1"/>
                  </w14:solidFill>
                </w14:textFill>
              </w:rPr>
              <w:t>交易</w:t>
            </w:r>
            <w:r>
              <w:rPr>
                <w:rFonts w:hint="eastAsia" w:ascii="宋体" w:hAnsi="宋体" w:eastAsia="宋体" w:cs="宋体"/>
                <w:color w:val="000000" w:themeColor="text1"/>
                <w:kern w:val="0"/>
                <w:szCs w:val="21"/>
                <w14:textFill>
                  <w14:solidFill>
                    <w14:schemeClr w14:val="tx1"/>
                  </w14:solidFill>
                </w14:textFill>
              </w:rPr>
              <w:t>系统查看</w:t>
            </w:r>
          </w:p>
          <w:p w14:paraId="0AD6AA22">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bCs w:val="0"/>
                <w:color w:val="000000" w:themeColor="text1"/>
                <w:kern w:val="2"/>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14:textFill>
                  <w14:solidFill>
                    <w14:schemeClr w14:val="tx1"/>
                  </w14:solidFill>
                </w14:textFill>
              </w:rPr>
              <w:t>☑评标现场告知</w:t>
            </w:r>
          </w:p>
        </w:tc>
      </w:tr>
      <w:tr w14:paraId="6328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6C146A2E">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15</w:t>
            </w:r>
          </w:p>
        </w:tc>
        <w:tc>
          <w:tcPr>
            <w:tcW w:w="2529" w:type="dxa"/>
            <w:vAlign w:val="center"/>
          </w:tcPr>
          <w:p w14:paraId="663A609E">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履约保证金</w:t>
            </w:r>
          </w:p>
        </w:tc>
        <w:tc>
          <w:tcPr>
            <w:tcW w:w="6411" w:type="dxa"/>
          </w:tcPr>
          <w:p w14:paraId="68997B9E">
            <w:pPr>
              <w:kinsoku w:val="0"/>
              <w:overflowPunct w:val="0"/>
              <w:autoSpaceDE w:val="0"/>
              <w:autoSpaceDN w:val="0"/>
              <w:spacing w:line="360" w:lineRule="exact"/>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 xml:space="preserve">☑免收 </w:t>
            </w:r>
          </w:p>
        </w:tc>
      </w:tr>
      <w:tr w14:paraId="704E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19D22708">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16</w:t>
            </w:r>
          </w:p>
        </w:tc>
        <w:tc>
          <w:tcPr>
            <w:tcW w:w="2529" w:type="dxa"/>
            <w:vAlign w:val="center"/>
          </w:tcPr>
          <w:p w14:paraId="2E301EF2">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签订合同</w:t>
            </w:r>
          </w:p>
        </w:tc>
        <w:tc>
          <w:tcPr>
            <w:tcW w:w="6411" w:type="dxa"/>
          </w:tcPr>
          <w:p w14:paraId="071FF6DF">
            <w:pPr>
              <w:kinsoku w:val="0"/>
              <w:overflowPunct w:val="0"/>
              <w:autoSpaceDE w:val="0"/>
              <w:autoSpaceDN w:val="0"/>
              <w:adjustRightInd w:val="0"/>
              <w:snapToGrid w:val="0"/>
              <w:spacing w:line="360" w:lineRule="exact"/>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采购人与中标人应当自发出中标通知书之日起7个工作日内签订合同。</w:t>
            </w:r>
          </w:p>
        </w:tc>
      </w:tr>
      <w:tr w14:paraId="71A0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0B6CD738">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17</w:t>
            </w:r>
          </w:p>
        </w:tc>
        <w:tc>
          <w:tcPr>
            <w:tcW w:w="2529" w:type="dxa"/>
            <w:vAlign w:val="center"/>
          </w:tcPr>
          <w:p w14:paraId="69893391">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代理费用</w:t>
            </w:r>
          </w:p>
        </w:tc>
        <w:tc>
          <w:tcPr>
            <w:tcW w:w="6411" w:type="dxa"/>
            <w:vAlign w:val="center"/>
          </w:tcPr>
          <w:p w14:paraId="4F8C32AB">
            <w:pPr>
              <w:kinsoku w:val="0"/>
              <w:overflowPunct w:val="0"/>
              <w:autoSpaceDE w:val="0"/>
              <w:autoSpaceDN w:val="0"/>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（1）收费对象</w:t>
            </w:r>
            <w:r>
              <w:rPr>
                <w:rFonts w:hint="eastAsia" w:ascii="宋体" w:hAnsi="宋体" w:eastAsia="宋体" w:cs="宋体"/>
                <w:color w:val="000000" w:themeColor="text1"/>
                <w:spacing w:val="-12"/>
                <w:szCs w:val="21"/>
                <w14:textFill>
                  <w14:solidFill>
                    <w14:schemeClr w14:val="tx1"/>
                  </w14:solidFill>
                </w14:textFill>
              </w:rPr>
              <w:t>：</w:t>
            </w:r>
            <w:r>
              <w:rPr>
                <w:rFonts w:hint="eastAsia" w:ascii="宋体" w:hAnsi="宋体" w:eastAsia="宋体" w:cs="宋体"/>
                <w:bCs/>
                <w:color w:val="000000" w:themeColor="text1"/>
                <w:kern w:val="0"/>
                <w:szCs w:val="21"/>
                <w14:textFill>
                  <w14:solidFill>
                    <w14:schemeClr w14:val="tx1"/>
                  </w14:solidFill>
                </w14:textFill>
              </w:rPr>
              <w:sym w:font="Wingdings" w:char="00A8"/>
            </w:r>
            <w:r>
              <w:rPr>
                <w:rFonts w:hint="eastAsia" w:ascii="宋体" w:hAnsi="宋体" w:eastAsia="宋体" w:cs="宋体"/>
                <w:color w:val="000000" w:themeColor="text1"/>
                <w:spacing w:val="14"/>
                <w:szCs w:val="21"/>
                <w14:textFill>
                  <w14:solidFill>
                    <w14:schemeClr w14:val="tx1"/>
                  </w14:solidFill>
                </w14:textFill>
              </w:rPr>
              <w:t xml:space="preserve">采购人   </w:t>
            </w:r>
            <w:r>
              <w:rPr>
                <w:rFonts w:hint="eastAsia" w:ascii="宋体" w:hAnsi="宋体" w:eastAsia="宋体" w:cs="宋体"/>
                <w:bCs/>
                <w:color w:val="000000" w:themeColor="text1"/>
                <w:kern w:val="0"/>
                <w:szCs w:val="21"/>
                <w14:textFill>
                  <w14:solidFill>
                    <w14:schemeClr w14:val="tx1"/>
                  </w14:solidFill>
                </w14:textFill>
              </w:rPr>
              <w:sym w:font="Wingdings" w:char="00FE"/>
            </w:r>
            <w:r>
              <w:rPr>
                <w:rFonts w:hint="eastAsia" w:ascii="宋体" w:hAnsi="宋体" w:eastAsia="宋体" w:cs="宋体"/>
                <w:color w:val="000000" w:themeColor="text1"/>
                <w:spacing w:val="14"/>
                <w:szCs w:val="21"/>
                <w14:textFill>
                  <w14:solidFill>
                    <w14:schemeClr w14:val="tx1"/>
                  </w14:solidFill>
                </w14:textFill>
              </w:rPr>
              <w:t>中标人</w:t>
            </w:r>
          </w:p>
          <w:p w14:paraId="5080A0AA">
            <w:pPr>
              <w:kinsoku w:val="0"/>
              <w:overflowPunct w:val="0"/>
              <w:autoSpaceDE w:val="0"/>
              <w:autoSpaceDN w:val="0"/>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收费金额：</w:t>
            </w:r>
            <w:r>
              <w:rPr>
                <w:rFonts w:hint="eastAsia" w:ascii="宋体" w:hAnsi="宋体" w:eastAsia="宋体" w:cs="宋体"/>
                <w:color w:val="000000" w:themeColor="text1"/>
                <w:szCs w:val="21"/>
                <w:u w:val="single"/>
                <w14:textFill>
                  <w14:solidFill>
                    <w14:schemeClr w14:val="tx1"/>
                  </w14:solidFill>
                </w14:textFill>
              </w:rPr>
              <w:t>2000元（不含专家评审费，具体费用以实际发生费用为准）</w:t>
            </w:r>
          </w:p>
        </w:tc>
      </w:tr>
      <w:tr w14:paraId="2024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3251B3D6">
            <w:pPr>
              <w:pStyle w:val="47"/>
              <w:pBdr>
                <w:bottom w:val="none" w:color="auto" w:sz="0" w:space="0"/>
              </w:pBdr>
              <w:tabs>
                <w:tab w:val="clear" w:pos="4153"/>
                <w:tab w:val="clear" w:pos="8306"/>
              </w:tabs>
              <w:kinsoku w:val="0"/>
              <w:overflowPunct w:val="0"/>
              <w:autoSpaceDE w:val="0"/>
              <w:autoSpaceDN w:val="0"/>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18</w:t>
            </w:r>
          </w:p>
        </w:tc>
        <w:tc>
          <w:tcPr>
            <w:tcW w:w="2529" w:type="dxa"/>
            <w:vAlign w:val="center"/>
          </w:tcPr>
          <w:p w14:paraId="036CD690">
            <w:pPr>
              <w:pStyle w:val="46"/>
              <w:widowControl w:val="0"/>
              <w:kinsoku w:val="0"/>
              <w:overflowPunct w:val="0"/>
              <w:autoSpaceDE w:val="0"/>
              <w:autoSpaceDN w:val="0"/>
              <w:spacing w:before="0" w:beforeAutospacing="0" w:after="0" w:afterAutospacing="0" w:line="360" w:lineRule="exact"/>
              <w:jc w:val="left"/>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质疑的提出及答复</w:t>
            </w:r>
          </w:p>
        </w:tc>
        <w:tc>
          <w:tcPr>
            <w:tcW w:w="6411" w:type="dxa"/>
            <w:vAlign w:val="center"/>
          </w:tcPr>
          <w:p w14:paraId="0170002C">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投标人对招标文件有疑问的，请于2026年9月7</w:t>
            </w:r>
            <w:r>
              <w:fldChar w:fldCharType="begin"/>
            </w:r>
            <w:r>
              <w:instrText xml:space="preserve"> HYPERLINK "mailto:日17时前，将疑问以书面形式（加盖公章）送至滁州学院资产与设备处（会峰校区行政楼220）或以邮件的形式发送至(909873365@qq.com)邮箱，采购人将在2020年" </w:instrText>
            </w:r>
            <w:r>
              <w:fldChar w:fldCharType="separate"/>
            </w:r>
            <w:r>
              <w:rPr>
                <w:rFonts w:hint="eastAsia" w:ascii="宋体" w:hAnsi="宋体" w:eastAsia="宋体" w:cs="宋体"/>
                <w:b w:val="0"/>
                <w:color w:val="000000" w:themeColor="text1"/>
                <w:sz w:val="21"/>
                <w:szCs w:val="21"/>
                <w14:textFill>
                  <w14:solidFill>
                    <w14:schemeClr w14:val="tx1"/>
                  </w14:solidFill>
                </w14:textFill>
              </w:rPr>
              <w:t>日9时前，将疑问以书面形式（加盖公章）送至滁州市疾病预防控制中心或以邮件的形式发送至13252801@qq.com（采购代理机构）邮箱，采购人将在2026年</w:t>
            </w:r>
            <w:r>
              <w:rPr>
                <w:rFonts w:hint="eastAsia" w:ascii="宋体" w:hAnsi="宋体" w:eastAsia="宋体" w:cs="宋体"/>
                <w:b w:val="0"/>
                <w:color w:val="000000" w:themeColor="text1"/>
                <w:sz w:val="21"/>
                <w:szCs w:val="21"/>
                <w14:textFill>
                  <w14:solidFill>
                    <w14:schemeClr w14:val="tx1"/>
                  </w14:solidFill>
                </w14:textFill>
              </w:rPr>
              <w:fldChar w:fldCharType="end"/>
            </w:r>
            <w:r>
              <w:rPr>
                <w:rFonts w:hint="eastAsia" w:ascii="宋体" w:hAnsi="宋体" w:eastAsia="宋体" w:cs="宋体"/>
                <w:b w:val="0"/>
                <w:color w:val="000000" w:themeColor="text1"/>
                <w:sz w:val="21"/>
                <w:szCs w:val="21"/>
                <w14:textFill>
                  <w14:solidFill>
                    <w14:schemeClr w14:val="tx1"/>
                  </w14:solidFill>
                </w14:textFill>
              </w:rPr>
              <w:t>9月7日17时后以澄清公告形式发布在滁州市疾病预防控制中心网站（http://www.ahczcdc.cn/）上，请各潜在投标人注意查看有关澄清内容，如不及时查看造成后果由投标人自负。</w:t>
            </w:r>
          </w:p>
          <w:p w14:paraId="40C351C1">
            <w:pPr>
              <w:pStyle w:val="46"/>
              <w:widowControl w:val="0"/>
              <w:kinsoku w:val="0"/>
              <w:overflowPunct w:val="0"/>
              <w:autoSpaceDE w:val="0"/>
              <w:autoSpaceDN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投标人请注意：采购人对采购文件进行的澄清、更正或更改，将在滁州市疾病预防控制中心网站上及时发布，该公告内容为采购文件的组成部分，对投标人具有同样约束力效力。投标人应主动上网查询。采购人和采购代理机构不承担投标人未及时关注相关信息引发的相关责任。</w:t>
            </w:r>
          </w:p>
        </w:tc>
      </w:tr>
      <w:tr w14:paraId="7F57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Align w:val="center"/>
          </w:tcPr>
          <w:p w14:paraId="2805B4CE">
            <w:pPr>
              <w:pStyle w:val="47"/>
              <w:pBdr>
                <w:bottom w:val="none" w:color="auto" w:sz="0" w:space="0"/>
              </w:pBdr>
              <w:tabs>
                <w:tab w:val="clear" w:pos="4153"/>
                <w:tab w:val="clear" w:pos="8306"/>
              </w:tabs>
              <w:adjustRightInd/>
              <w:spacing w:line="360" w:lineRule="exact"/>
              <w:textAlignment w:val="auto"/>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19</w:t>
            </w:r>
          </w:p>
        </w:tc>
        <w:tc>
          <w:tcPr>
            <w:tcW w:w="2529" w:type="dxa"/>
            <w:vAlign w:val="center"/>
          </w:tcPr>
          <w:p w14:paraId="7DF60226">
            <w:pPr>
              <w:pStyle w:val="46"/>
              <w:widowControl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其他内容</w:t>
            </w:r>
          </w:p>
        </w:tc>
        <w:tc>
          <w:tcPr>
            <w:tcW w:w="6411" w:type="dxa"/>
            <w:vAlign w:val="center"/>
          </w:tcPr>
          <w:p w14:paraId="61BD584D">
            <w:pPr>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（1）构成本招标文件的各个组成文件应互为解释，互为说明；</w:t>
            </w:r>
          </w:p>
          <w:p w14:paraId="37F15C69">
            <w:pPr>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（2）同一组成文件中就同一事项的规定或约定不一致的，以编排顺序在后者为准；</w:t>
            </w:r>
          </w:p>
          <w:p w14:paraId="41730B33">
            <w:pPr>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（3）如有不明确或不一致，构成合同文件组成内容的，以合同文件约定内容为准，且以专用合同条款约定的合同文件优先顺序解释；</w:t>
            </w:r>
          </w:p>
          <w:p w14:paraId="7581824F">
            <w:pPr>
              <w:spacing w:line="360" w:lineRule="exac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（4）除招标文件中有特别规定外，仅适用于招标投标阶段的规定，按招标公告、投标邀请、投标人须知、评标方法和标准、投标文件格式的先后顺序解释；</w:t>
            </w:r>
          </w:p>
          <w:p w14:paraId="0471084A">
            <w:pPr>
              <w:pStyle w:val="46"/>
              <w:widowControl w:val="0"/>
              <w:spacing w:before="0" w:beforeAutospacing="0" w:after="0" w:afterAutospacing="0" w:line="360" w:lineRule="exact"/>
              <w:jc w:val="both"/>
              <w:rPr>
                <w:rFonts w:hint="eastAsia" w:ascii="宋体" w:hAnsi="宋体" w:eastAsia="宋体" w:cs="宋体"/>
                <w:b w:val="0"/>
                <w:color w:val="000000" w:themeColor="text1"/>
                <w:sz w:val="21"/>
                <w:szCs w:val="21"/>
                <w14:textFill>
                  <w14:solidFill>
                    <w14:schemeClr w14:val="tx1"/>
                  </w14:solidFill>
                </w14:textFill>
              </w:rPr>
            </w:pPr>
            <w:r>
              <w:rPr>
                <w:rFonts w:hint="eastAsia" w:ascii="宋体" w:hAnsi="宋体" w:eastAsia="宋体" w:cs="宋体"/>
                <w:b w:val="0"/>
                <w:color w:val="000000" w:themeColor="text1"/>
                <w:sz w:val="21"/>
                <w:szCs w:val="21"/>
                <w14:textFill>
                  <w14:solidFill>
                    <w14:schemeClr w14:val="tx1"/>
                  </w14:solidFill>
                </w14:textFill>
              </w:rPr>
              <w:t>（5）按本款前述规定仍不能形成结论的，由采购人负责解释。</w:t>
            </w:r>
          </w:p>
        </w:tc>
      </w:tr>
    </w:tbl>
    <w:p w14:paraId="61CCCBD1">
      <w:pPr>
        <w:spacing w:line="360" w:lineRule="auto"/>
        <w:jc w:val="center"/>
        <w:outlineLvl w:val="1"/>
        <w:rPr>
          <w:rFonts w:hint="eastAsia" w:asciiTheme="minorEastAsia" w:hAnsiTheme="minorEastAsia" w:eastAsiaTheme="minorEastAsia"/>
          <w:b/>
          <w:color w:val="000000" w:themeColor="text1"/>
          <w:szCs w:val="21"/>
          <w14:textFill>
            <w14:solidFill>
              <w14:schemeClr w14:val="tx1"/>
            </w14:solidFill>
          </w14:textFill>
        </w:rPr>
      </w:pPr>
      <w:bookmarkStart w:id="40" w:name="_Toc24882"/>
      <w:bookmarkStart w:id="41" w:name="_Toc9427"/>
    </w:p>
    <w:p w14:paraId="08B400F3">
      <w:pPr>
        <w:spacing w:line="360" w:lineRule="auto"/>
        <w:jc w:val="center"/>
        <w:outlineLvl w:val="1"/>
        <w:rPr>
          <w:rFonts w:hint="eastAsia" w:ascii="宋体" w:hAnsi="宋体" w:eastAsia="宋体" w:cs="宋体"/>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二、投标人须知正文</w:t>
      </w:r>
      <w:bookmarkEnd w:id="40"/>
      <w:bookmarkEnd w:id="41"/>
    </w:p>
    <w:p w14:paraId="7C950C97">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1.采购人、采购代理机构及投标人</w:t>
      </w:r>
    </w:p>
    <w:p w14:paraId="7D110466">
      <w:pPr>
        <w:spacing w:line="400" w:lineRule="exact"/>
        <w:ind w:firstLine="420" w:firstLineChars="200"/>
        <w:outlineLvl w:val="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1.1采购人：是指依法开展政府采购活动的国家机关、事业单位、团体组织。</w:t>
      </w:r>
    </w:p>
    <w:p w14:paraId="10E2AD8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1.2采购代理机构：是指集中采购机构或从事采购代理业务的社会中介机构。</w:t>
      </w:r>
    </w:p>
    <w:p w14:paraId="6327B9E1">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1.3政府采购监督管理部门：各级人民政府指定的有关部门依法履行与政府采购活动有关的监督管理职责。</w:t>
      </w:r>
    </w:p>
    <w:p w14:paraId="0612E28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1.4投标人：是指向采购人提供货物、工程或者服务的法人、其他组织或者自然人。分支机构不得参加政府采购活动，但银行、保险、石油石化、电力、电信等特殊行业除外。</w:t>
      </w:r>
    </w:p>
    <w:p w14:paraId="1D891D34">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2.资金落实情况</w:t>
      </w:r>
    </w:p>
    <w:p w14:paraId="3032044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2.1本项目的采购人已获得足以支付本次招标后所签订的合同项下的资金。</w:t>
      </w:r>
    </w:p>
    <w:p w14:paraId="09DB982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3.投标费用</w:t>
      </w:r>
    </w:p>
    <w:p w14:paraId="4867C62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不论投标的结果如何，投标人应承担所有与准备和参加投标有关的费用。</w:t>
      </w:r>
    </w:p>
    <w:p w14:paraId="5029F81F">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4.适用法律</w:t>
      </w:r>
    </w:p>
    <w:p w14:paraId="7520A64F">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009917DE">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5.招标文件构成</w:t>
      </w:r>
    </w:p>
    <w:p w14:paraId="0C355A2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5.1招标文件包括下列内容：</w:t>
      </w:r>
    </w:p>
    <w:p w14:paraId="75D0F823">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第一章  投标邀请</w:t>
      </w:r>
    </w:p>
    <w:p w14:paraId="6CCC5E3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第二章  投标人须知</w:t>
      </w:r>
    </w:p>
    <w:p w14:paraId="77478A8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第三章  采购需求</w:t>
      </w:r>
    </w:p>
    <w:p w14:paraId="0E9AEE9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第四章  评标方法和标准</w:t>
      </w:r>
    </w:p>
    <w:p w14:paraId="68C090B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第五章  政府采购合同</w:t>
      </w:r>
    </w:p>
    <w:p w14:paraId="3E7D9A1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第六章  投标文件格式</w:t>
      </w:r>
    </w:p>
    <w:p w14:paraId="738D791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5.2现场考察（</w:t>
      </w:r>
      <w:r>
        <w:rPr>
          <w:rFonts w:hint="eastAsia" w:ascii="宋体" w:hAnsi="宋体" w:eastAsia="宋体" w:cs="宋体"/>
          <w:bCs/>
          <w:color w:val="000000" w:themeColor="text1"/>
          <w:szCs w:val="21"/>
          <w14:textFill>
            <w14:solidFill>
              <w14:schemeClr w14:val="tx1"/>
            </w14:solidFill>
          </w14:textFill>
        </w:rPr>
        <w:t>标前答疑会</w:t>
      </w:r>
      <w:r>
        <w:rPr>
          <w:rFonts w:hint="eastAsia" w:ascii="宋体" w:hAnsi="宋体" w:eastAsia="宋体" w:cs="宋体"/>
          <w:color w:val="000000" w:themeColor="text1"/>
          <w:szCs w:val="21"/>
          <w14:textFill>
            <w14:solidFill>
              <w14:schemeClr w14:val="tx1"/>
            </w14:solidFill>
          </w14:textFill>
        </w:rPr>
        <w:t>）及相关事项见</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w:t>
      </w:r>
    </w:p>
    <w:p w14:paraId="156B303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5.3投标人应认真阅读招标文件所有的事项、格式、条款和技术规范等。</w:t>
      </w:r>
    </w:p>
    <w:p w14:paraId="4C246A31">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6.招标文件的澄清与修改</w:t>
      </w:r>
    </w:p>
    <w:p w14:paraId="2C0AC1F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6.1投标人如对招标文件内容有疑问，可在</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规定的询问截止时间前提交给采购代理机构。</w:t>
      </w:r>
    </w:p>
    <w:p w14:paraId="33BF738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6.2采购人可主动地或在答复投标人提出的询问时对招标文件进行澄清与修改。采购代理机构将在滁州市疾病预防控制中心网站（http://www.ahczcdc.cn/）网站发布更正公告，澄清或修改招标文件，更正公告的内容作为招标文件的组成部分，对投标人起约束作用。投标人应主动上网查询。采购代理机构不承担投标人未及时关注相关信息引发的相关责任。</w:t>
      </w:r>
    </w:p>
    <w:p w14:paraId="52C0ADC1">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6.3任何人或任何组织向投标人提供的任何书面或口头资料，未经采购代理机构在发布或书面通知，均作无效处理，不得作为招标文件的组成部分。采购代理机构对投标人由此而做出的理解、推论和结论概不负责。</w:t>
      </w:r>
    </w:p>
    <w:p w14:paraId="44D6B488">
      <w:pPr>
        <w:spacing w:line="400" w:lineRule="exact"/>
        <w:ind w:firstLine="420" w:firstLineChars="200"/>
        <w:rPr>
          <w:rFonts w:hint="eastAsia" w:ascii="宋体" w:hAnsi="宋体" w:eastAsia="宋体" w:cs="宋体"/>
          <w:i/>
          <w:i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6.4对于没有提出疑问又参与了本项目投标的投标人将被视为完全认同本招标文件（含更正公告的内容）</w:t>
      </w:r>
      <w:r>
        <w:rPr>
          <w:rFonts w:hint="eastAsia" w:ascii="宋体" w:hAnsi="宋体" w:eastAsia="宋体" w:cs="宋体"/>
          <w:i/>
          <w:color w:val="000000" w:themeColor="text1"/>
          <w:szCs w:val="21"/>
          <w14:textFill>
            <w14:solidFill>
              <w14:schemeClr w14:val="tx1"/>
            </w14:solidFill>
          </w14:textFill>
        </w:rPr>
        <w:t>。</w:t>
      </w:r>
    </w:p>
    <w:p w14:paraId="7BD8A31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7.投标范围及投标文件中标准和计量单位的使用</w:t>
      </w:r>
    </w:p>
    <w:p w14:paraId="40F49EF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7.1项目有分包的，投标人可对招标文件其中某一个或几个分包进行投标，除非在</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中另有规定。</w:t>
      </w:r>
    </w:p>
    <w:p w14:paraId="038330D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7.2投标人应当对所投分包招标文件中“采购需求”所列的所有内容进行投标，如仅投标所投包别中的部分内容，其所投包别的投标将被认定为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5AF56A0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bookmarkStart w:id="42" w:name="_Hlk16458980"/>
      <w:r>
        <w:rPr>
          <w:rFonts w:hint="eastAsia" w:ascii="宋体" w:hAnsi="宋体" w:eastAsia="宋体" w:cs="宋体"/>
          <w:color w:val="000000" w:themeColor="text1"/>
          <w:szCs w:val="21"/>
          <w14:textFill>
            <w14:solidFill>
              <w14:schemeClr w14:val="tx1"/>
            </w14:solidFill>
          </w14:textFill>
        </w:rPr>
        <w:t>7.3无论招标文件中是否要求，投标人所投货物、服务及工程（如有）均应符合国家强制性标准。</w:t>
      </w:r>
    </w:p>
    <w:bookmarkEnd w:id="42"/>
    <w:p w14:paraId="13F1FBD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45574AC3">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7.5除招标文件中有特殊要求外，投标文件中所使用的计量单位，应采用中华人民共和国法定计量单位。</w:t>
      </w:r>
    </w:p>
    <w:p w14:paraId="40DBE4A5">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8.投标文件构成</w:t>
      </w:r>
    </w:p>
    <w:p w14:paraId="4EDF648F">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8.1投标人应完整地按招标文件提供的投标文件格式及要求编写投标文件，具体内容详见本项目投标文件格式的相关内容。</w:t>
      </w:r>
    </w:p>
    <w:p w14:paraId="6B219AE3">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8.2投标人应提交招标文件要求的证明文件，证明其投标内容符合招标文件规定，该证明文件是投标文件的一部分。证明文件形式可以是文字资料、图纸和数据</w:t>
      </w:r>
      <w:bookmarkStart w:id="43" w:name="_Hlk11703583"/>
      <w:r>
        <w:rPr>
          <w:rFonts w:hint="eastAsia" w:ascii="宋体" w:hAnsi="宋体" w:eastAsia="宋体" w:cs="宋体"/>
          <w:color w:val="000000" w:themeColor="text1"/>
          <w:szCs w:val="21"/>
          <w14:textFill>
            <w14:solidFill>
              <w14:schemeClr w14:val="tx1"/>
            </w14:solidFill>
          </w14:textFill>
        </w:rPr>
        <w:t>等。</w:t>
      </w:r>
    </w:p>
    <w:bookmarkEnd w:id="43"/>
    <w:p w14:paraId="033FE79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8.3为保证公平公正，除非另有规定或说明，投标人对同一项目投标时，不得同时提供备选投标方案。</w:t>
      </w:r>
    </w:p>
    <w:p w14:paraId="45A509F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9.投标报价</w:t>
      </w:r>
    </w:p>
    <w:p w14:paraId="677B13D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12.1投标人的报价应当包括满足本次招标全部采购需求的费用。除招标文件另有规定外，所有投标均应以人民币报价。投标人的投标报价应遵守《中华人民共和国价格法》。</w:t>
      </w:r>
    </w:p>
    <w:p w14:paraId="77B596F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9.2投标人报价超过招标文件规定的预算金额或者分项、分包最高限价，其投标将被认定为</w:t>
      </w:r>
      <w:r>
        <w:rPr>
          <w:rFonts w:hint="eastAsia" w:ascii="宋体" w:hAnsi="宋体" w:eastAsia="宋体" w:cs="宋体"/>
          <w:b/>
          <w:bCs/>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0C6D7CD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9.3投标报价在合同履行过程中是固定不变的，不得以任何理由予以变更。任何包含价格调整要求的投标，其投标将被认定为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5F5B085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9.4评标委员会认为投标人的报价明显低于其他通过符合性审查投标人的报价，有可能影响产品质量或者不能诚信履约的，应当要求其在合理的时间内提供书面说明，必要时提交相关证明材料；投标人不能证明其报价合理性的，其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425CC3D5">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9.5采购人不接受具有附加条件的报价。</w:t>
      </w:r>
    </w:p>
    <w:p w14:paraId="7BD1995E">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10.投标保证金</w:t>
      </w:r>
    </w:p>
    <w:p w14:paraId="32F5A6EE">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10.1本项目不收取投标保证金。</w:t>
      </w:r>
    </w:p>
    <w:p w14:paraId="1511D50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11.投标有效期</w:t>
      </w:r>
    </w:p>
    <w:p w14:paraId="682520F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11.1投标有效期为从投标截止之日算起的日历天数，投标有效期详见</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w:t>
      </w:r>
    </w:p>
    <w:p w14:paraId="736F686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11.2在投标有效期内，投标人的投标保持有效，投标人不得要求撤销或修改其投标文件。投标有效期不满足要求的投标，其投标将被认定为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1404C66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63C43D9">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12.投标文件的递交、修改与撤回</w:t>
      </w:r>
    </w:p>
    <w:p w14:paraId="21039AED">
      <w:pPr>
        <w:spacing w:line="400" w:lineRule="exact"/>
        <w:ind w:firstLine="382" w:firstLineChars="18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12.1投标人应当在招标公告规定的投标截止时间前，将投标文件递交至规定地点。</w:t>
      </w:r>
    </w:p>
    <w:p w14:paraId="225B2754">
      <w:pPr>
        <w:spacing w:line="400" w:lineRule="exact"/>
        <w:ind w:firstLine="382" w:firstLineChars="18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12.2投标人应当在投标截止时间前完成投标文件的递交，并可以补充、修改或者撤回投标文件。投标截止时间前未完成投标文件递交的，视为撤回投标文件。</w:t>
      </w:r>
    </w:p>
    <w:p w14:paraId="1E0081F5">
      <w:pPr>
        <w:spacing w:line="400" w:lineRule="exact"/>
        <w:ind w:firstLine="422"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13.开标</w:t>
      </w:r>
    </w:p>
    <w:p w14:paraId="14864F93">
      <w:pPr>
        <w:spacing w:line="400" w:lineRule="exact"/>
        <w:ind w:firstLine="382" w:firstLineChars="18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13.1开标时，采购代理机构将公布投标人名称、投标价格及招标文件规定的内容。</w:t>
      </w:r>
    </w:p>
    <w:p w14:paraId="7FA77D62">
      <w:pPr>
        <w:spacing w:line="400" w:lineRule="exact"/>
        <w:ind w:firstLine="382" w:firstLineChars="18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13.2采购人或采购代理机构将对开标过程进行记录，并存档备查。</w:t>
      </w:r>
    </w:p>
    <w:p w14:paraId="578227A3">
      <w:pPr>
        <w:spacing w:line="400" w:lineRule="exact"/>
        <w:ind w:firstLine="382" w:firstLineChars="18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13.3投标人代表对开标过程和开标记录有疑义，以及认为采购人、采购代理机构相关工作人员有需要回避的情形的，应当场提出询问或者回避申请。</w:t>
      </w:r>
    </w:p>
    <w:p w14:paraId="37378EFA">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14.组建评标委员会</w:t>
      </w:r>
    </w:p>
    <w:p w14:paraId="6974E2D6">
      <w:pPr>
        <w:spacing w:line="400" w:lineRule="exact"/>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14.1按照《中华人民共和国政府采购法》《中华人民共和国政府采购法实施条例》及本项目本级和上级财政部门、政府采购监督管理部门的有关规定依法组建的评标委员会，负责本项目评标工作。</w:t>
      </w:r>
    </w:p>
    <w:p w14:paraId="442F19A9">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15.投标文件符合性审查与澄清</w:t>
      </w:r>
    </w:p>
    <w:p w14:paraId="5DF8542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15.1符合性审查是指依据招标文件的规定，从投标文件的有效性和完整性对招标文件的投标程度进行审查，以确定是否对招标文件的实质性要求做出投标。</w:t>
      </w:r>
    </w:p>
    <w:p w14:paraId="1AC0CA9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15.2投标文件的澄清</w:t>
      </w:r>
    </w:p>
    <w:p w14:paraId="7127B5D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做必要的澄清、说明或补正。投标人的澄清、说明或补正应在评标委员会规定的时间内以书面方式进行，并不得超出投标文件范围或者改变投标文件的实质性内容。</w:t>
      </w:r>
    </w:p>
    <w:p w14:paraId="1B78473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如有询标，投标人授权代表（或法定代表人）凭本人有效身份证明参加询标。因投标人授权代表联系不上等情形而无法接受评标委员会询标的，投标人自行承担相关风险。</w:t>
      </w:r>
    </w:p>
    <w:p w14:paraId="705196F2">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15.2.2投标人的澄清、说明或补正将作为投标文件的一部分。</w:t>
      </w:r>
    </w:p>
    <w:p w14:paraId="0518AD11">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15.2.3评标委员会对投标人提交的澄清、说明或补正有疑问的，可以要求投标人进一步澄清、说明或补正，直至满足评标委员会的要求。</w:t>
      </w:r>
    </w:p>
    <w:p w14:paraId="1EB40F1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15.3投标文件报价出现前后不一致的，按照下列规定修正：</w:t>
      </w:r>
    </w:p>
    <w:p w14:paraId="7CB2A0E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（1）投标文件中开标一览表内容与投标文件中相应内容不一致的，以开标一览表为准；</w:t>
      </w:r>
    </w:p>
    <w:p w14:paraId="6BD340F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（2）大写金额和小写金额不一致的，以大写金额为准；</w:t>
      </w:r>
    </w:p>
    <w:p w14:paraId="227114F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（3）单价金额小数点或者百分比有明显错位的，以开标一览表的总价为准，并修改单价；</w:t>
      </w:r>
    </w:p>
    <w:p w14:paraId="673ED0C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（4）总价金额与按单价汇总金额不一致的，以单价金额计算结果为准。</w:t>
      </w:r>
    </w:p>
    <w:p w14:paraId="6FDB415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同时出现两种以上不一致的，按照前款规定的顺序修正。修正后的报价按照第15.3条的规定经投标人确认后产生约束力，无论投标人是接受或是拒绝调整后的价格，都应当由投标人在系统中确认。投标人拒绝对投标文件出现的错漏按上述原则进行修正、澄清、说明，其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4966C6E0">
      <w:pPr>
        <w:spacing w:line="400" w:lineRule="exact"/>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对不同文字文本投标文件的解释发生异议的，以中文文本为准。</w:t>
      </w:r>
    </w:p>
    <w:p w14:paraId="06E86D99">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16.投标无效</w:t>
      </w:r>
    </w:p>
    <w:p w14:paraId="1DC1417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16.1根据本招标文件的规定，评标委员会要审查每份投标文件是否实质上投标了招标文件的要求。投标人不得通过修正或撤销不符合要求的偏离，从而使其投标成为实质上投标的投标。</w:t>
      </w:r>
    </w:p>
    <w:p w14:paraId="19F9B652">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评标委员会决定投标的投标性只根据招标文件要求和投标文件内容。</w:t>
      </w:r>
    </w:p>
    <w:p w14:paraId="1BD428D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无论何种原因，即使投标人在投标时携带了证书材料，但投标文件中未提供与之内容完全一致的复印件的，评标委员会视同其未提供。</w:t>
      </w:r>
    </w:p>
    <w:p w14:paraId="352F19F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16.2如发现下列情况之一的，其投标将被认定为</w:t>
      </w:r>
      <w:r>
        <w:rPr>
          <w:rFonts w:hint="eastAsia" w:ascii="宋体" w:hAnsi="宋体" w:eastAsia="宋体" w:cs="宋体"/>
          <w:b/>
          <w:color w:val="000000" w:themeColor="text1"/>
          <w:szCs w:val="21"/>
          <w14:textFill>
            <w14:solidFill>
              <w14:schemeClr w14:val="tx1"/>
            </w14:solidFill>
          </w14:textFill>
        </w:rPr>
        <w:t>投标无效</w:t>
      </w:r>
      <w:r>
        <w:rPr>
          <w:rFonts w:hint="eastAsia" w:ascii="宋体" w:hAnsi="宋体" w:eastAsia="宋体" w:cs="宋体"/>
          <w:color w:val="000000" w:themeColor="text1"/>
          <w:szCs w:val="21"/>
          <w14:textFill>
            <w14:solidFill>
              <w14:schemeClr w14:val="tx1"/>
            </w14:solidFill>
          </w14:textFill>
        </w:rPr>
        <w:t>：</w:t>
      </w:r>
    </w:p>
    <w:p w14:paraId="6B04077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（1）投标文件未按照招标文件规定要求签署、盖章的；</w:t>
      </w:r>
    </w:p>
    <w:p w14:paraId="149F98A2">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（2）不具备招标文件中规定的资格要求的；</w:t>
      </w:r>
    </w:p>
    <w:p w14:paraId="49AF331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（3）报价超过招标文件中规定的预算金额或者最高限价的；</w:t>
      </w:r>
    </w:p>
    <w:p w14:paraId="614750E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（4）投标文件含有采购人不能接受的附加条件的；</w:t>
      </w:r>
    </w:p>
    <w:p w14:paraId="07F737B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（5）法律法规和招标文件规定的其他无效情形。</w:t>
      </w:r>
    </w:p>
    <w:p w14:paraId="3221F945">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17.比较与评价</w:t>
      </w:r>
    </w:p>
    <w:p w14:paraId="5C649AF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17.1经符合性审查合格的投标文件，评标委员会将根据招标文件确定的评标方法和标准，对其投标文件做进一步的比较与评价。</w:t>
      </w:r>
    </w:p>
    <w:p w14:paraId="1A99D9D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17.2评标严格按照招标文件的要求和条件进行。根据实际情况，在</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中规定采用下列一种评标方法，详细评标方法和标准见招标文件第四章：</w:t>
      </w:r>
    </w:p>
    <w:p w14:paraId="1B46B3FF">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综合评分法，是指投标文件满足招标文件全部实质性要求，且按照评审因素的量化指标评审得分最高的投标人为中标候选人的评标方法。</w:t>
      </w:r>
    </w:p>
    <w:p w14:paraId="0273FB88">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18.废标、重新招标与变更采购方式</w:t>
      </w:r>
    </w:p>
    <w:p w14:paraId="3685453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18.1出现下列情形之一，将导致项目废标：</w:t>
      </w:r>
    </w:p>
    <w:p w14:paraId="31BDC473">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（1）符合专业条件的投标人或者对招标文件做实质性投标的投标人不足规定数量的；</w:t>
      </w:r>
    </w:p>
    <w:p w14:paraId="58263C5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（2）出现影响采购公正的违法、违规行为的；</w:t>
      </w:r>
    </w:p>
    <w:p w14:paraId="4DE63AF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（3）投标人的报价均超过了采购预算，采购人不能支付的；</w:t>
      </w:r>
    </w:p>
    <w:p w14:paraId="1470C94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（4）因重大变故，采购任务取消的。</w:t>
      </w:r>
    </w:p>
    <w:p w14:paraId="45E6A7C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18.2公开招标数额标准以上的采购项目，投标截止后投标人不足3家或者通过资格审查或符合性审查的投标人不足3家的，除采购任务取消情形外，按照以下方式处理：</w:t>
      </w:r>
    </w:p>
    <w:p w14:paraId="3CC01261">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（1）招标文件存在不合理条款或者招标程序不符合规定的，采购人、采购代理机构改正后依法重新招标；</w:t>
      </w:r>
    </w:p>
    <w:p w14:paraId="2F8DE1D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（2）招标文件没有不合理条款、招标程序符合规定，需要采用其他采购方式采购的，采购人应当依法报政府采购监督管理部门批准。</w:t>
      </w:r>
    </w:p>
    <w:p w14:paraId="711DBD55">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19.保密要求</w:t>
      </w:r>
    </w:p>
    <w:p w14:paraId="1CF569F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19.1评标将在严格保密的情况下进行。</w:t>
      </w:r>
    </w:p>
    <w:p w14:paraId="0DEF7EA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19.2有关人员应当遵守评标工作纪律，不得泄露评标文件、评标情况和评标中获悉的国家秘密、商业秘密。</w:t>
      </w:r>
    </w:p>
    <w:p w14:paraId="37DA968C">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20.中标候选人的确定原则及标准</w:t>
      </w:r>
    </w:p>
    <w:p w14:paraId="57CE5672">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20.1评标委员会依据本项目招标文件所约定的评标方法，对实质上投标招标文件的投标人按下列方法进行排序，确定中标候选人：</w:t>
      </w:r>
    </w:p>
    <w:p w14:paraId="21D7283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采用综合评分法的，评标结果按评审后得分由高到低顺序排列。得分相同的，按投标报价由低到高顺序排列。得分与投标报价均相同的，则采取评标委员会随机抽取的方式确定中标候选顺序。</w:t>
      </w:r>
    </w:p>
    <w:p w14:paraId="562F50F3">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21.确定中标候选人和中标人</w:t>
      </w:r>
    </w:p>
    <w:p w14:paraId="70415B3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21.1评标委员会将根据评标标准，按</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中规定数量推荐中标候选人。</w:t>
      </w:r>
    </w:p>
    <w:p w14:paraId="1655E84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21.2按</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中规定，由评标委员会或采购人确定中标人。</w:t>
      </w:r>
    </w:p>
    <w:p w14:paraId="78BD0A1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21.3因重大变故采购任务取消时，采购人有权拒绝任何投标人中标，且对受影响的投标人不承担任何责任。</w:t>
      </w:r>
    </w:p>
    <w:p w14:paraId="0739F353">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22.中标结果公告</w:t>
      </w:r>
    </w:p>
    <w:p w14:paraId="55386322">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22.1自中标人确定之日起2个工作日内，采购代理机构将在滁州市疾病预防控制中心网站（http://www.ahczcdc.cn/）发布中标结果公告。</w:t>
      </w:r>
    </w:p>
    <w:p w14:paraId="6F40011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22.2中标结果公告内容应当包括采购人及其委托的采购代理机构的名称、地址、联系方式，项目名称，中标人名称、地址和中标金额，主要中标标的的名称、服务范围、服务要求、服务时间、服务标准，中标公告期限，以及</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中约定进行公告的内容。中标公告期限为1个工作日。</w:t>
      </w:r>
    </w:p>
    <w:p w14:paraId="0576C539">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23.中标通知书</w:t>
      </w:r>
    </w:p>
    <w:p w14:paraId="3878C48B">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23.1中标结果公告结束后，采购代理机构以</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规定的形式向中标人发出中标通知书。中标通知书须加盖采购人、采购代理机构公章，方可发出。</w:t>
      </w:r>
    </w:p>
    <w:p w14:paraId="0C18E21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23.2中标通知书对采购人和中标人具有同等法律效力。中标通知书发出以后，采购人改变中标结果或者中标人放弃中标，应当承担相应的法律责任。</w:t>
      </w:r>
    </w:p>
    <w:p w14:paraId="31A72F4E">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23.3中标通知书是合同的组成部分。</w:t>
      </w:r>
    </w:p>
    <w:p w14:paraId="75CE82B9">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24.告知招标结果</w:t>
      </w:r>
    </w:p>
    <w:p w14:paraId="0E79E6AD">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24.1在公告中标结果的同时，采购代理机构同时以</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规定的形式告知未通过资格审查的投标人未通过的原因；采用综合评分法评审的，还将告知未中标人本人的评审得分和排序。</w:t>
      </w:r>
    </w:p>
    <w:p w14:paraId="75932AE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25.履约保证金（本项目不采用）</w:t>
      </w:r>
    </w:p>
    <w:p w14:paraId="29E0BDC6">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26.签订合同</w:t>
      </w:r>
    </w:p>
    <w:p w14:paraId="2DDD2C13">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26.1采购人与中标人应当按照</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规定的时间内完成采购合同签订及合同公告。</w:t>
      </w:r>
    </w:p>
    <w:p w14:paraId="18F091E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26.2招标文件、中标人的投标文件及其澄清文件等，均为签订合同的依据。</w:t>
      </w:r>
    </w:p>
    <w:p w14:paraId="6019D27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26.3中标人拒绝与采购人签订合同的，采购人可以按照评审报告推荐的中标候选人名单排序，确定下一中标候选人为中标人，也可以重新开展政府采购活动。</w:t>
      </w:r>
    </w:p>
    <w:p w14:paraId="59ACC626">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27.代理费用</w:t>
      </w:r>
    </w:p>
    <w:p w14:paraId="543A773F">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27.1本项目代理费用的收取按</w:t>
      </w:r>
      <w:r>
        <w:rPr>
          <w:rFonts w:hint="eastAsia" w:ascii="宋体" w:hAnsi="宋体" w:eastAsia="宋体" w:cs="宋体"/>
          <w:color w:val="000000" w:themeColor="text1"/>
          <w:szCs w:val="21"/>
          <w:u w:val="single"/>
          <w14:textFill>
            <w14:solidFill>
              <w14:schemeClr w14:val="tx1"/>
            </w14:solidFill>
          </w14:textFill>
        </w:rPr>
        <w:t>投标人须知前附表的</w:t>
      </w:r>
      <w:r>
        <w:rPr>
          <w:rFonts w:hint="eastAsia" w:ascii="宋体" w:hAnsi="宋体" w:eastAsia="宋体" w:cs="宋体"/>
          <w:color w:val="000000" w:themeColor="text1"/>
          <w:szCs w:val="21"/>
          <w14:textFill>
            <w14:solidFill>
              <w14:schemeClr w14:val="tx1"/>
            </w14:solidFill>
          </w14:textFill>
        </w:rPr>
        <w:t>规定执行。</w:t>
      </w:r>
    </w:p>
    <w:p w14:paraId="61FD84C0">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bookmarkStart w:id="44" w:name="_Toc518923100"/>
      <w:bookmarkStart w:id="45" w:name="_Toc2583661"/>
      <w:r>
        <w:rPr>
          <w:rFonts w:hint="eastAsia" w:ascii="宋体" w:hAnsi="宋体" w:eastAsia="宋体" w:cs="宋体"/>
          <w:b/>
          <w:color w:val="000000" w:themeColor="text1"/>
          <w:szCs w:val="21"/>
          <w14:textFill>
            <w14:solidFill>
              <w14:schemeClr w14:val="tx1"/>
            </w14:solidFill>
          </w14:textFill>
        </w:rPr>
        <w:t>28.廉洁自律规定</w:t>
      </w:r>
      <w:bookmarkEnd w:id="44"/>
      <w:bookmarkEnd w:id="45"/>
    </w:p>
    <w:p w14:paraId="55DAA3E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28.1采购代理机构工作人员不得以不正当手段获取政府采购代理业务，不得与采购人、投标人恶意串通。</w:t>
      </w:r>
    </w:p>
    <w:p w14:paraId="3FCF7D5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28.2采购代理机构工作人员不得接受采购人或者投标人组织的宴请、旅游、娱乐，不得收受礼品、现金、有价证券等，不得向采购人或者投标人报销应当由个人承担的费用。</w:t>
      </w:r>
    </w:p>
    <w:p w14:paraId="1608159A">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bookmarkStart w:id="46" w:name="_Toc518923101"/>
      <w:bookmarkStart w:id="47" w:name="_Toc2583662"/>
      <w:r>
        <w:rPr>
          <w:rFonts w:hint="eastAsia" w:ascii="宋体" w:hAnsi="宋体" w:eastAsia="宋体" w:cs="宋体"/>
          <w:b/>
          <w:color w:val="000000" w:themeColor="text1"/>
          <w:szCs w:val="21"/>
          <w14:textFill>
            <w14:solidFill>
              <w14:schemeClr w14:val="tx1"/>
            </w14:solidFill>
          </w14:textFill>
        </w:rPr>
        <w:t>29.人员回避</w:t>
      </w:r>
      <w:bookmarkEnd w:id="46"/>
      <w:bookmarkEnd w:id="47"/>
    </w:p>
    <w:p w14:paraId="4F3161C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投标人认为采购人员及其相关人员有法律法规所列与其他投标人有利害关系的，可以向采购人或采购代理机构书面提出回避申请，并说明理由。</w:t>
      </w:r>
    </w:p>
    <w:p w14:paraId="347FF46B">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30.质疑的提出与接受</w:t>
      </w:r>
    </w:p>
    <w:p w14:paraId="2BD0756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30.1投标人认为招标文件、招标过程和中标结果使自己的权益受到损害的，可以在知道或者应知其权益受到损害之日起七个工作日内，以书面形式向采购人或其委托的采购代理机构提出质疑。</w:t>
      </w:r>
    </w:p>
    <w:p w14:paraId="7734C3A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30.2采购人或采购代理机构在收到投标人的质疑函后，将审查质疑函的格式、内容以及所附的证明文件是否符合要求。如不符合，说明原因退回投标人；如符合要求，则接受该质疑函。投标人对评审过程、中标（成交）结果提出质疑的，采购人、采购代理机构可以组织原评标委员会协助答复质疑。处理质疑的时间，从实际接受投标人质疑函的时间开始计算。</w:t>
      </w:r>
    </w:p>
    <w:p w14:paraId="3E432308">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31.投诉</w:t>
      </w:r>
    </w:p>
    <w:p w14:paraId="30A3AE78">
      <w:pPr>
        <w:wordWrap w:val="0"/>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31.1质疑投标人对采购人、采购代理机构的答复不满意，或者采购人、采购代理机构未在规定的时间内答复的，可以在答复期满后十五个工作日内按有关规定，以书面形式向同级政府采购监督管理部门提出投诉或者线上提交投诉材料。</w:t>
      </w:r>
    </w:p>
    <w:p w14:paraId="1268ECC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31.2政府采购监督管理部门应当在收到投诉后30个工作日内，对投诉事项作出处理决定，并以书面形式通知投诉人和与投诉事项有关的当事人。政府采购监督管理部门处理投诉事项，需要检验、检测、鉴定、专家评审以及需要投诉人补正材料的，所需时间不计算在投诉处理期限内。</w:t>
      </w:r>
    </w:p>
    <w:p w14:paraId="5E50C7E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31.3政府采购监督管理部门在处理投诉事项期间，可以视具体情况书面通知采购人暂停采购活动，但暂停时间最长不得超过30日。</w:t>
      </w:r>
    </w:p>
    <w:p w14:paraId="5C114CBE">
      <w:pPr>
        <w:spacing w:line="400" w:lineRule="exact"/>
        <w:ind w:firstLine="422" w:firstLineChars="200"/>
        <w:outlineLvl w:val="2"/>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32.需要补充的其他内容</w:t>
      </w:r>
    </w:p>
    <w:p w14:paraId="1EBA09D7">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需要补充的其他内容，见</w:t>
      </w:r>
      <w:r>
        <w:rPr>
          <w:rFonts w:hint="eastAsia" w:ascii="宋体" w:hAnsi="宋体" w:eastAsia="宋体" w:cs="宋体"/>
          <w:color w:val="000000" w:themeColor="text1"/>
          <w:szCs w:val="21"/>
          <w:u w:val="single"/>
          <w14:textFill>
            <w14:solidFill>
              <w14:schemeClr w14:val="tx1"/>
            </w14:solidFill>
          </w14:textFill>
        </w:rPr>
        <w:t>投标人须知前附表</w:t>
      </w:r>
      <w:r>
        <w:rPr>
          <w:rFonts w:hint="eastAsia" w:ascii="宋体" w:hAnsi="宋体" w:eastAsia="宋体" w:cs="宋体"/>
          <w:color w:val="000000" w:themeColor="text1"/>
          <w:szCs w:val="21"/>
          <w14:textFill>
            <w14:solidFill>
              <w14:schemeClr w14:val="tx1"/>
            </w14:solidFill>
          </w14:textFill>
        </w:rPr>
        <w:t>。</w:t>
      </w:r>
    </w:p>
    <w:p w14:paraId="62183766">
      <w:pPr>
        <w:widowControl/>
        <w:ind w:firstLine="480" w:firstLineChars="200"/>
        <w:jc w:val="left"/>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br w:type="page"/>
      </w:r>
    </w:p>
    <w:p w14:paraId="56122A08">
      <w:pPr>
        <w:numPr>
          <w:ilvl w:val="0"/>
          <w:numId w:val="3"/>
        </w:numPr>
        <w:jc w:val="center"/>
        <w:outlineLvl w:val="0"/>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b/>
          <w:color w:val="000000" w:themeColor="text1"/>
          <w:sz w:val="28"/>
          <w14:textFill>
            <w14:solidFill>
              <w14:schemeClr w14:val="tx1"/>
            </w14:solidFill>
          </w14:textFill>
        </w:rPr>
        <w:t xml:space="preserve"> </w:t>
      </w:r>
      <w:bookmarkStart w:id="48" w:name="_Toc22605"/>
      <w:r>
        <w:rPr>
          <w:rFonts w:hint="eastAsia" w:ascii="宋体" w:hAnsi="宋体" w:eastAsia="宋体" w:cs="宋体"/>
          <w:b/>
          <w:color w:val="000000" w:themeColor="text1"/>
          <w:sz w:val="28"/>
          <w14:textFill>
            <w14:solidFill>
              <w14:schemeClr w14:val="tx1"/>
            </w14:solidFill>
          </w14:textFill>
        </w:rPr>
        <w:t>采购需求</w:t>
      </w:r>
      <w:bookmarkEnd w:id="48"/>
    </w:p>
    <w:p w14:paraId="11E356EA">
      <w:pPr>
        <w:spacing w:line="360" w:lineRule="exact"/>
        <w:ind w:firstLine="422" w:firstLineChars="200"/>
        <w:outlineLvl w:val="1"/>
        <w:rPr>
          <w:rFonts w:hint="eastAsia" w:ascii="宋体" w:hAnsi="宋体" w:eastAsia="宋体" w:cs="宋体"/>
          <w:b/>
          <w:color w:val="000000" w:themeColor="text1"/>
          <w:szCs w:val="21"/>
          <w14:textFill>
            <w14:solidFill>
              <w14:schemeClr w14:val="tx1"/>
            </w14:solidFill>
          </w14:textFill>
        </w:rPr>
      </w:pPr>
      <w:bookmarkStart w:id="49" w:name="_Toc4148"/>
      <w:bookmarkStart w:id="50" w:name="_Toc21798"/>
      <w:bookmarkStart w:id="51" w:name="_Hlk23621890"/>
      <w:bookmarkStart w:id="52" w:name="_Toc30824"/>
      <w:r>
        <w:rPr>
          <w:rFonts w:hint="eastAsia" w:ascii="宋体" w:hAnsi="宋体" w:eastAsia="宋体" w:cs="宋体"/>
          <w:b/>
          <w:color w:val="000000" w:themeColor="text1"/>
          <w:szCs w:val="21"/>
          <w14:textFill>
            <w14:solidFill>
              <w14:schemeClr w14:val="tx1"/>
            </w14:solidFill>
          </w14:textFill>
        </w:rPr>
        <w:t>一、采购需求前附表</w:t>
      </w:r>
      <w:bookmarkEnd w:id="49"/>
      <w:bookmarkEnd w:id="50"/>
    </w:p>
    <w:tbl>
      <w:tblPr>
        <w:tblStyle w:val="28"/>
        <w:tblW w:w="48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1268"/>
        <w:gridCol w:w="6922"/>
      </w:tblGrid>
      <w:tr w14:paraId="2172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51" w:type="dxa"/>
            <w:vAlign w:val="center"/>
          </w:tcPr>
          <w:p w14:paraId="598A18F6">
            <w:pPr>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b/>
                <w:color w:val="000000" w:themeColor="text1"/>
                <w:szCs w:val="21"/>
                <w14:textFill>
                  <w14:solidFill>
                    <w14:schemeClr w14:val="tx1"/>
                  </w14:solidFill>
                </w14:textFill>
              </w:rPr>
              <w:t>序号</w:t>
            </w:r>
          </w:p>
        </w:tc>
        <w:tc>
          <w:tcPr>
            <w:tcW w:w="1268" w:type="dxa"/>
            <w:vAlign w:val="center"/>
          </w:tcPr>
          <w:p w14:paraId="21EC79EC">
            <w:pPr>
              <w:spacing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
                <w:color w:val="000000" w:themeColor="text1"/>
                <w:kern w:val="0"/>
                <w:szCs w:val="21"/>
                <w14:textFill>
                  <w14:solidFill>
                    <w14:schemeClr w14:val="tx1"/>
                  </w14:solidFill>
                </w14:textFill>
              </w:rPr>
              <w:t>条款名称</w:t>
            </w:r>
          </w:p>
        </w:tc>
        <w:tc>
          <w:tcPr>
            <w:tcW w:w="6922" w:type="dxa"/>
            <w:vAlign w:val="center"/>
          </w:tcPr>
          <w:p w14:paraId="080E2370">
            <w:pPr>
              <w:spacing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
                <w:color w:val="000000" w:themeColor="text1"/>
                <w:kern w:val="0"/>
                <w:szCs w:val="21"/>
                <w14:textFill>
                  <w14:solidFill>
                    <w14:schemeClr w14:val="tx1"/>
                  </w14:solidFill>
                </w14:textFill>
              </w:rPr>
              <w:t>内容、说明与要求</w:t>
            </w:r>
          </w:p>
        </w:tc>
      </w:tr>
      <w:tr w14:paraId="5965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51" w:type="dxa"/>
            <w:vAlign w:val="center"/>
          </w:tcPr>
          <w:p w14:paraId="32FC9CA2">
            <w:pPr>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bCs/>
                <w:color w:val="000000" w:themeColor="text1"/>
                <w:szCs w:val="21"/>
                <w14:textFill>
                  <w14:solidFill>
                    <w14:schemeClr w14:val="tx1"/>
                  </w14:solidFill>
                </w14:textFill>
              </w:rPr>
              <w:t>1</w:t>
            </w:r>
          </w:p>
        </w:tc>
        <w:tc>
          <w:tcPr>
            <w:tcW w:w="1268" w:type="dxa"/>
            <w:vAlign w:val="center"/>
          </w:tcPr>
          <w:p w14:paraId="2011B9BC">
            <w:pPr>
              <w:spacing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付款方式</w:t>
            </w:r>
          </w:p>
        </w:tc>
        <w:tc>
          <w:tcPr>
            <w:tcW w:w="6922" w:type="dxa"/>
            <w:vAlign w:val="center"/>
          </w:tcPr>
          <w:p w14:paraId="630F34B1">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合同生效且甲方书面确认项目进度达50%合格后，支付合同总价的50%；项目最终验收合格后，付清剩余50%尾款。</w:t>
            </w:r>
          </w:p>
        </w:tc>
      </w:tr>
      <w:tr w14:paraId="0452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2" w:hRule="atLeast"/>
          <w:jc w:val="center"/>
        </w:trPr>
        <w:tc>
          <w:tcPr>
            <w:tcW w:w="751" w:type="dxa"/>
            <w:vAlign w:val="center"/>
          </w:tcPr>
          <w:p w14:paraId="1DE83FC2">
            <w:pPr>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bCs/>
                <w:color w:val="000000" w:themeColor="text1"/>
                <w:szCs w:val="21"/>
                <w14:textFill>
                  <w14:solidFill>
                    <w14:schemeClr w14:val="tx1"/>
                  </w14:solidFill>
                </w14:textFill>
              </w:rPr>
              <w:t>2</w:t>
            </w:r>
          </w:p>
        </w:tc>
        <w:tc>
          <w:tcPr>
            <w:tcW w:w="1268" w:type="dxa"/>
            <w:vAlign w:val="center"/>
          </w:tcPr>
          <w:p w14:paraId="71E2C9D8">
            <w:pPr>
              <w:spacing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服务地点</w:t>
            </w:r>
          </w:p>
        </w:tc>
        <w:tc>
          <w:tcPr>
            <w:tcW w:w="6922" w:type="dxa"/>
            <w:vAlign w:val="center"/>
          </w:tcPr>
          <w:p w14:paraId="2466518A">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采购人指定地点。</w:t>
            </w:r>
          </w:p>
        </w:tc>
      </w:tr>
      <w:tr w14:paraId="4239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751" w:type="dxa"/>
            <w:vAlign w:val="center"/>
          </w:tcPr>
          <w:p w14:paraId="7C95913F">
            <w:pPr>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bCs/>
                <w:color w:val="000000" w:themeColor="text1"/>
                <w:szCs w:val="21"/>
                <w14:textFill>
                  <w14:solidFill>
                    <w14:schemeClr w14:val="tx1"/>
                  </w14:solidFill>
                </w14:textFill>
              </w:rPr>
              <w:t>3</w:t>
            </w:r>
          </w:p>
        </w:tc>
        <w:tc>
          <w:tcPr>
            <w:tcW w:w="1268" w:type="dxa"/>
            <w:vAlign w:val="center"/>
          </w:tcPr>
          <w:p w14:paraId="10F226C9">
            <w:pPr>
              <w:spacing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服务期限</w:t>
            </w:r>
          </w:p>
        </w:tc>
        <w:tc>
          <w:tcPr>
            <w:tcW w:w="6922" w:type="dxa"/>
            <w:vAlign w:val="center"/>
          </w:tcPr>
          <w:p w14:paraId="34C69B1A">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bCs/>
                <w:color w:val="000000" w:themeColor="text1"/>
                <w:kern w:val="0"/>
                <w:szCs w:val="21"/>
                <w14:textFill>
                  <w14:solidFill>
                    <w14:schemeClr w14:val="tx1"/>
                  </w14:solidFill>
                </w14:textFill>
              </w:rPr>
              <w:t>自合同签订起五个月内完成全部制作及验收。</w:t>
            </w:r>
          </w:p>
        </w:tc>
      </w:tr>
      <w:bookmarkEnd w:id="51"/>
    </w:tbl>
    <w:p w14:paraId="20398B77">
      <w:pPr>
        <w:numPr>
          <w:ilvl w:val="0"/>
          <w:numId w:val="4"/>
        </w:numPr>
        <w:snapToGrid w:val="0"/>
        <w:spacing w:before="156" w:beforeLines="50" w:line="360" w:lineRule="exact"/>
        <w:ind w:firstLine="422" w:firstLineChars="200"/>
        <w:jc w:val="left"/>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项目具体服务内容</w:t>
      </w:r>
    </w:p>
    <w:p w14:paraId="5AA8077B">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根据国家卫生健康委办公厅发布的《中国公民健康素养—基本知识与技能（2024年版）》中的66条，利用AI技术制作科普视频（AI场景式健康科普连续剧）。</w:t>
      </w:r>
    </w:p>
    <w:p w14:paraId="7B33DCCF">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w:t>
      </w:r>
      <w:r>
        <w:rPr>
          <w:rFonts w:ascii="宋体" w:hAnsi="宋体" w:eastAsia="宋体"/>
          <w:color w:val="000000" w:themeColor="text1"/>
          <w:szCs w:val="21"/>
          <w14:textFill>
            <w14:solidFill>
              <w14:schemeClr w14:val="tx1"/>
            </w14:solidFill>
          </w14:textFill>
        </w:rPr>
        <w:t>总体目标</w:t>
      </w:r>
      <w:r>
        <w:rPr>
          <w:rFonts w:hint="eastAsia" w:ascii="宋体" w:hAnsi="宋体" w:eastAsia="宋体"/>
          <w:color w:val="000000" w:themeColor="text1"/>
          <w:szCs w:val="21"/>
          <w14:textFill>
            <w14:solidFill>
              <w14:schemeClr w14:val="tx1"/>
            </w14:solidFill>
          </w14:textFill>
        </w:rPr>
        <w:t>：将健康素养66条融入到情景剧中，以中国现代家庭真实生活场景为原型，用最新的AI技术展现故事情节，打造国内首部大型健康科普AI连续剧。</w:t>
      </w:r>
    </w:p>
    <w:p w14:paraId="0FAAFD52">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ascii="宋体" w:hAnsi="宋体" w:eastAsia="宋体"/>
          <w:color w:val="000000" w:themeColor="text1"/>
          <w:szCs w:val="21"/>
          <w14:textFill>
            <w14:solidFill>
              <w14:schemeClr w14:val="tx1"/>
            </w14:solidFill>
          </w14:textFill>
        </w:rPr>
        <w:t>基本原则</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严格依据</w:t>
      </w:r>
      <w:r>
        <w:rPr>
          <w:rFonts w:hint="eastAsia" w:ascii="宋体" w:hAnsi="宋体" w:eastAsia="宋体"/>
          <w:color w:val="000000" w:themeColor="text1"/>
          <w:szCs w:val="21"/>
          <w14:textFill>
            <w14:solidFill>
              <w14:schemeClr w14:val="tx1"/>
            </w14:solidFill>
          </w14:textFill>
        </w:rPr>
        <w:t>国家相关法律、</w:t>
      </w:r>
      <w:r>
        <w:rPr>
          <w:rFonts w:ascii="宋体" w:hAnsi="宋体" w:eastAsia="宋体"/>
          <w:color w:val="000000" w:themeColor="text1"/>
          <w:szCs w:val="21"/>
          <w14:textFill>
            <w14:solidFill>
              <w14:schemeClr w14:val="tx1"/>
            </w14:solidFill>
          </w14:textFill>
        </w:rPr>
        <w:t>法规及官方渠道发布的共识、指南等权威资料</w:t>
      </w:r>
      <w:r>
        <w:rPr>
          <w:rFonts w:hint="eastAsia" w:ascii="宋体" w:hAnsi="宋体" w:eastAsia="宋体"/>
          <w:color w:val="000000" w:themeColor="text1"/>
          <w:szCs w:val="21"/>
          <w14:textFill>
            <w14:solidFill>
              <w14:schemeClr w14:val="tx1"/>
            </w14:solidFill>
          </w14:textFill>
        </w:rPr>
        <w:t>对文案进行审核，保证科普的严谨性、科学性。</w:t>
      </w:r>
    </w:p>
    <w:p w14:paraId="2DC4D9AE">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w:t>
      </w:r>
      <w:r>
        <w:rPr>
          <w:rFonts w:ascii="宋体" w:hAnsi="宋体" w:eastAsia="宋体"/>
          <w:color w:val="000000" w:themeColor="text1"/>
          <w:szCs w:val="21"/>
          <w14:textFill>
            <w14:solidFill>
              <w14:schemeClr w14:val="tx1"/>
            </w14:solidFill>
          </w14:textFill>
        </w:rPr>
        <w:t>内容要求</w:t>
      </w:r>
      <w:r>
        <w:rPr>
          <w:rFonts w:hint="eastAsia" w:ascii="宋体" w:hAnsi="宋体" w:eastAsia="宋体"/>
          <w:color w:val="000000" w:themeColor="text1"/>
          <w:szCs w:val="21"/>
          <w14:textFill>
            <w14:solidFill>
              <w14:schemeClr w14:val="tx1"/>
            </w14:solidFill>
          </w14:textFill>
        </w:rPr>
        <w:t>：</w:t>
      </w:r>
    </w:p>
    <w:p w14:paraId="73DFA619">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（1）视频数量：25-30部</w:t>
      </w:r>
    </w:p>
    <w:p w14:paraId="65F40EA2">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ascii="宋体" w:hAnsi="宋体" w:eastAsia="宋体"/>
          <w:color w:val="000000" w:themeColor="text1"/>
          <w:szCs w:val="21"/>
          <w14:textFill>
            <w14:solidFill>
              <w14:schemeClr w14:val="tx1"/>
            </w14:solidFill>
          </w14:textFill>
        </w:rPr>
        <w:t>视频</w:t>
      </w:r>
      <w:r>
        <w:rPr>
          <w:rFonts w:hint="eastAsia" w:ascii="宋体" w:hAnsi="宋体" w:eastAsia="宋体"/>
          <w:color w:val="000000" w:themeColor="text1"/>
          <w:szCs w:val="21"/>
          <w14:textFill>
            <w14:solidFill>
              <w14:schemeClr w14:val="tx1"/>
            </w14:solidFill>
          </w14:textFill>
        </w:rPr>
        <w:t>时长：5-10分钟/部</w:t>
      </w:r>
    </w:p>
    <w:p w14:paraId="5EE238F0">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（3）表现形式：仿真人情景剧</w:t>
      </w:r>
    </w:p>
    <w:p w14:paraId="27AF3218">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（4）精剪制作、由多场景转换</w:t>
      </w:r>
    </w:p>
    <w:p w14:paraId="07219392">
      <w:pPr>
        <w:spacing w:line="360" w:lineRule="exact"/>
        <w:ind w:firstLine="435"/>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w:t>
      </w:r>
      <w:r>
        <w:rPr>
          <w:rFonts w:ascii="宋体" w:hAnsi="宋体" w:eastAsia="宋体"/>
          <w:color w:val="000000" w:themeColor="text1"/>
          <w:szCs w:val="21"/>
          <w14:textFill>
            <w14:solidFill>
              <w14:schemeClr w14:val="tx1"/>
            </w14:solidFill>
          </w14:textFill>
        </w:rPr>
        <w:t>技术要求</w:t>
      </w:r>
    </w:p>
    <w:p w14:paraId="2E26FB24">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格式</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视频应储存为MP4格式</w:t>
      </w:r>
      <w:r>
        <w:rPr>
          <w:rFonts w:hint="eastAsia" w:ascii="宋体" w:hAnsi="宋体" w:eastAsia="宋体"/>
          <w:color w:val="000000" w:themeColor="text1"/>
          <w:szCs w:val="21"/>
          <w14:textFill>
            <w14:solidFill>
              <w14:schemeClr w14:val="tx1"/>
            </w14:solidFill>
          </w14:textFill>
        </w:rPr>
        <w:t>；</w:t>
      </w:r>
    </w:p>
    <w:p w14:paraId="287D6946">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画面比例</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横屏</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16:9</w:t>
      </w:r>
      <w:r>
        <w:rPr>
          <w:rFonts w:hint="eastAsia" w:ascii="宋体" w:hAnsi="宋体" w:eastAsia="宋体"/>
          <w:color w:val="000000" w:themeColor="text1"/>
          <w:szCs w:val="21"/>
          <w14:textFill>
            <w14:solidFill>
              <w14:schemeClr w14:val="tx1"/>
            </w14:solidFill>
          </w14:textFill>
        </w:rPr>
        <w:t>）；</w:t>
      </w:r>
    </w:p>
    <w:p w14:paraId="6E3C6A0F">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分辨率</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1920*1080P，</w:t>
      </w:r>
      <w:r>
        <w:rPr>
          <w:rFonts w:ascii="宋体" w:hAnsi="宋体" w:eastAsia="宋体"/>
          <w:color w:val="000000" w:themeColor="text1"/>
          <w:szCs w:val="21"/>
          <w14:textFill>
            <w14:solidFill>
              <w14:schemeClr w14:val="tx1"/>
            </w14:solidFill>
          </w14:textFill>
        </w:rPr>
        <w:t>确保注射器刻度等操作细节清晰可见</w:t>
      </w:r>
      <w:r>
        <w:rPr>
          <w:rFonts w:hint="eastAsia" w:ascii="宋体" w:hAnsi="宋体" w:eastAsia="宋体"/>
          <w:color w:val="000000" w:themeColor="text1"/>
          <w:szCs w:val="21"/>
          <w14:textFill>
            <w14:solidFill>
              <w14:schemeClr w14:val="tx1"/>
            </w14:solidFill>
          </w14:textFill>
        </w:rPr>
        <w:t>；</w:t>
      </w:r>
    </w:p>
    <w:p w14:paraId="1EBDB42B">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帧率</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30</w:t>
      </w:r>
      <w:r>
        <w:rPr>
          <w:rFonts w:ascii="宋体" w:hAnsi="宋体" w:eastAsia="宋体"/>
          <w:color w:val="000000" w:themeColor="text1"/>
          <w:szCs w:val="21"/>
          <w14:textFill>
            <w14:solidFill>
              <w14:schemeClr w14:val="tx1"/>
            </w14:solidFill>
          </w14:textFill>
        </w:rPr>
        <w:t>fps</w:t>
      </w:r>
      <w:r>
        <w:rPr>
          <w:rFonts w:hint="eastAsia" w:ascii="宋体" w:hAnsi="宋体" w:eastAsia="宋体"/>
          <w:color w:val="000000" w:themeColor="text1"/>
          <w:szCs w:val="21"/>
          <w14:textFill>
            <w14:solidFill>
              <w14:schemeClr w14:val="tx1"/>
            </w14:solidFill>
          </w14:textFill>
        </w:rPr>
        <w:t>；</w:t>
      </w:r>
    </w:p>
    <w:p w14:paraId="6EB58CB1">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音效</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消除环境杂音</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重要步骤配提示音效</w:t>
      </w:r>
      <w:r>
        <w:rPr>
          <w:rFonts w:hint="eastAsia" w:ascii="宋体" w:hAnsi="宋体" w:eastAsia="宋体"/>
          <w:color w:val="000000" w:themeColor="text1"/>
          <w:szCs w:val="21"/>
          <w14:textFill>
            <w14:solidFill>
              <w14:schemeClr w14:val="tx1"/>
            </w14:solidFill>
          </w14:textFill>
        </w:rPr>
        <w:t>；</w:t>
      </w:r>
    </w:p>
    <w:p w14:paraId="45E34F8C">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标注</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使用箭头/圆圈标注操作关键点</w:t>
      </w:r>
      <w:r>
        <w:rPr>
          <w:rFonts w:hint="eastAsia" w:ascii="宋体" w:hAnsi="宋体" w:eastAsia="宋体"/>
          <w:color w:val="000000" w:themeColor="text1"/>
          <w:szCs w:val="21"/>
          <w14:textFill>
            <w14:solidFill>
              <w14:schemeClr w14:val="tx1"/>
            </w14:solidFill>
          </w14:textFill>
        </w:rPr>
        <w:t>；</w:t>
      </w:r>
    </w:p>
    <w:p w14:paraId="3C6F8168">
      <w:pPr>
        <w:spacing w:line="360" w:lineRule="exact"/>
        <w:ind w:firstLine="435"/>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背景音乐</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轻快舒缓的纯音乐</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音量低于配音50%</w:t>
      </w:r>
      <w:r>
        <w:rPr>
          <w:rFonts w:hint="eastAsia" w:ascii="宋体" w:hAnsi="宋体" w:eastAsia="宋体"/>
          <w:color w:val="000000" w:themeColor="text1"/>
          <w:szCs w:val="21"/>
          <w14:textFill>
            <w14:solidFill>
              <w14:schemeClr w14:val="tx1"/>
            </w14:solidFill>
          </w14:textFill>
        </w:rPr>
        <w:t>；</w:t>
      </w:r>
    </w:p>
    <w:p w14:paraId="1CC43A91">
      <w:pPr>
        <w:spacing w:before="312" w:beforeLines="100"/>
        <w:jc w:val="center"/>
        <w:outlineLvl w:val="0"/>
        <w:rPr>
          <w:rFonts w:hint="eastAsia" w:ascii="宋体" w:hAnsi="宋体" w:eastAsia="宋体" w:cs="宋体"/>
          <w:b/>
          <w:color w:val="000000" w:themeColor="text1"/>
          <w:sz w:val="28"/>
          <w14:textFill>
            <w14:solidFill>
              <w14:schemeClr w14:val="tx1"/>
            </w14:solidFill>
          </w14:textFill>
        </w:rPr>
      </w:pPr>
    </w:p>
    <w:p w14:paraId="2F07809A">
      <w:pPr>
        <w:spacing w:before="312" w:beforeLines="100"/>
        <w:jc w:val="center"/>
        <w:outlineLvl w:val="0"/>
        <w:rPr>
          <w:rFonts w:hint="eastAsia" w:ascii="宋体" w:hAnsi="宋体" w:eastAsia="宋体" w:cs="宋体"/>
          <w:b/>
          <w:color w:val="000000" w:themeColor="text1"/>
          <w:sz w:val="28"/>
          <w14:textFill>
            <w14:solidFill>
              <w14:schemeClr w14:val="tx1"/>
            </w14:solidFill>
          </w14:textFill>
        </w:rPr>
      </w:pPr>
    </w:p>
    <w:p w14:paraId="4DDD6910">
      <w:pPr>
        <w:spacing w:before="312" w:beforeLines="100"/>
        <w:jc w:val="center"/>
        <w:outlineLvl w:val="0"/>
        <w:rPr>
          <w:rFonts w:hint="eastAsia" w:ascii="宋体" w:hAnsi="宋体" w:eastAsia="宋体" w:cs="宋体"/>
          <w:b/>
          <w:color w:val="000000" w:themeColor="text1"/>
          <w:sz w:val="28"/>
          <w14:textFill>
            <w14:solidFill>
              <w14:schemeClr w14:val="tx1"/>
            </w14:solidFill>
          </w14:textFill>
        </w:rPr>
      </w:pPr>
    </w:p>
    <w:p w14:paraId="421471D7">
      <w:pPr>
        <w:spacing w:before="312" w:beforeLines="100"/>
        <w:jc w:val="center"/>
        <w:outlineLvl w:val="0"/>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b/>
          <w:color w:val="000000" w:themeColor="text1"/>
          <w:sz w:val="28"/>
          <w14:textFill>
            <w14:solidFill>
              <w14:schemeClr w14:val="tx1"/>
            </w14:solidFill>
          </w14:textFill>
        </w:rPr>
        <w:t>第四章  评标方法和标准（综合评分法）</w:t>
      </w:r>
      <w:bookmarkEnd w:id="52"/>
    </w:p>
    <w:p w14:paraId="25601595">
      <w:pPr>
        <w:spacing w:line="400" w:lineRule="exact"/>
        <w:ind w:firstLine="437"/>
        <w:outlineLvl w:val="1"/>
        <w:rPr>
          <w:rFonts w:hint="eastAsia" w:ascii="宋体" w:hAnsi="宋体" w:eastAsia="宋体" w:cs="宋体"/>
          <w:b/>
          <w:color w:val="000000" w:themeColor="text1"/>
          <w:szCs w:val="21"/>
          <w14:textFill>
            <w14:solidFill>
              <w14:schemeClr w14:val="tx1"/>
            </w14:solidFill>
          </w14:textFill>
        </w:rPr>
      </w:pPr>
      <w:bookmarkStart w:id="53" w:name="_Toc4705"/>
      <w:bookmarkStart w:id="54" w:name="_Toc11823"/>
      <w:r>
        <w:rPr>
          <w:rFonts w:hint="eastAsia" w:ascii="宋体" w:hAnsi="宋体" w:eastAsia="宋体" w:cs="宋体"/>
          <w:b/>
          <w:color w:val="000000" w:themeColor="text1"/>
          <w:szCs w:val="21"/>
          <w14:textFill>
            <w14:solidFill>
              <w14:schemeClr w14:val="tx1"/>
            </w14:solidFill>
          </w14:textFill>
        </w:rPr>
        <w:t>一、总则</w:t>
      </w:r>
      <w:bookmarkEnd w:id="53"/>
      <w:bookmarkEnd w:id="54"/>
    </w:p>
    <w:p w14:paraId="7228ABC0">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本项目将按照招标文件第二章投标人须知的相关要求及本章的规定评标。</w:t>
      </w:r>
    </w:p>
    <w:p w14:paraId="1D51CE8D">
      <w:pPr>
        <w:kinsoku w:val="0"/>
        <w:overflowPunct w:val="0"/>
        <w:autoSpaceDE w:val="0"/>
        <w:autoSpaceDN w:val="0"/>
        <w:spacing w:line="400" w:lineRule="exact"/>
        <w:ind w:firstLine="437"/>
        <w:outlineLvl w:val="1"/>
        <w:rPr>
          <w:rFonts w:hint="eastAsia" w:ascii="宋体" w:hAnsi="宋体" w:eastAsia="宋体" w:cs="宋体"/>
          <w:b/>
          <w:color w:val="000000" w:themeColor="text1"/>
          <w:szCs w:val="21"/>
          <w14:textFill>
            <w14:solidFill>
              <w14:schemeClr w14:val="tx1"/>
            </w14:solidFill>
          </w14:textFill>
        </w:rPr>
      </w:pPr>
      <w:bookmarkStart w:id="55" w:name="_Toc32410"/>
      <w:bookmarkStart w:id="56" w:name="_Toc31871"/>
      <w:r>
        <w:rPr>
          <w:rFonts w:hint="eastAsia" w:ascii="宋体" w:hAnsi="宋体" w:eastAsia="宋体" w:cs="宋体"/>
          <w:b/>
          <w:color w:val="000000" w:themeColor="text1"/>
          <w:szCs w:val="21"/>
          <w14:textFill>
            <w14:solidFill>
              <w14:schemeClr w14:val="tx1"/>
            </w14:solidFill>
          </w14:textFill>
        </w:rPr>
        <w:t>二、评标方法</w:t>
      </w:r>
      <w:bookmarkEnd w:id="55"/>
      <w:bookmarkEnd w:id="56"/>
    </w:p>
    <w:p w14:paraId="666DBCFB">
      <w:pPr>
        <w:kinsoku w:val="0"/>
        <w:overflowPunct w:val="0"/>
        <w:autoSpaceDE w:val="0"/>
        <w:autoSpaceDN w:val="0"/>
        <w:spacing w:line="320" w:lineRule="exact"/>
        <w:ind w:firstLine="437"/>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2.1资格审查</w:t>
      </w:r>
    </w:p>
    <w:tbl>
      <w:tblPr>
        <w:tblStyle w:val="28"/>
        <w:tblW w:w="51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13"/>
        <w:gridCol w:w="5502"/>
        <w:gridCol w:w="2131"/>
      </w:tblGrid>
      <w:tr w14:paraId="2E9F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AF7C725">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资格审查表</w:t>
            </w:r>
          </w:p>
        </w:tc>
      </w:tr>
      <w:tr w14:paraId="280D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tcBorders>
              <w:bottom w:val="single" w:color="auto" w:sz="4" w:space="0"/>
            </w:tcBorders>
            <w:vAlign w:val="center"/>
          </w:tcPr>
          <w:p w14:paraId="3DF2DA92">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序号</w:t>
            </w:r>
          </w:p>
        </w:tc>
        <w:tc>
          <w:tcPr>
            <w:tcW w:w="684" w:type="pct"/>
            <w:tcBorders>
              <w:bottom w:val="single" w:color="auto" w:sz="4" w:space="0"/>
            </w:tcBorders>
            <w:vAlign w:val="center"/>
          </w:tcPr>
          <w:p w14:paraId="28B7F5DF">
            <w:pPr>
              <w:pStyle w:val="47"/>
              <w:pBdr>
                <w:bottom w:val="none" w:color="auto" w:sz="0" w:space="0"/>
              </w:pBdr>
              <w:tabs>
                <w:tab w:val="clear" w:pos="4153"/>
                <w:tab w:val="clear" w:pos="8306"/>
              </w:tabs>
              <w:kinsoku w:val="0"/>
              <w:overflowPunct w:val="0"/>
              <w:autoSpaceDE w:val="0"/>
              <w:autoSpaceDN w:val="0"/>
              <w:adjustRightInd/>
              <w:spacing w:line="320" w:lineRule="exact"/>
              <w:ind w:right="-10"/>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审查因素</w:t>
            </w:r>
          </w:p>
        </w:tc>
        <w:tc>
          <w:tcPr>
            <w:tcW w:w="2866" w:type="pct"/>
            <w:tcBorders>
              <w:bottom w:val="single" w:color="auto" w:sz="4" w:space="0"/>
            </w:tcBorders>
            <w:vAlign w:val="center"/>
          </w:tcPr>
          <w:p w14:paraId="346035E4">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审查内容</w:t>
            </w:r>
          </w:p>
        </w:tc>
        <w:tc>
          <w:tcPr>
            <w:tcW w:w="1108" w:type="pct"/>
            <w:tcBorders>
              <w:bottom w:val="single" w:color="auto" w:sz="4" w:space="0"/>
            </w:tcBorders>
            <w:vAlign w:val="center"/>
          </w:tcPr>
          <w:p w14:paraId="6A004969">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格式要求</w:t>
            </w:r>
          </w:p>
        </w:tc>
      </w:tr>
      <w:tr w14:paraId="5B70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340" w:type="pct"/>
            <w:tcBorders>
              <w:bottom w:val="single" w:color="auto" w:sz="4" w:space="0"/>
            </w:tcBorders>
            <w:vAlign w:val="center"/>
          </w:tcPr>
          <w:p w14:paraId="1ED02DAC">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684" w:type="pct"/>
            <w:tcBorders>
              <w:bottom w:val="single" w:color="auto" w:sz="4" w:space="0"/>
            </w:tcBorders>
            <w:vAlign w:val="center"/>
          </w:tcPr>
          <w:p w14:paraId="3374DA14">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pacing w:val="9"/>
                <w:szCs w:val="21"/>
                <w14:textFill>
                  <w14:solidFill>
                    <w14:schemeClr w14:val="tx1"/>
                  </w14:solidFill>
                </w14:textFill>
              </w:rPr>
              <w:t>营业执照等证明</w:t>
            </w:r>
            <w:r>
              <w:rPr>
                <w:rFonts w:hint="eastAsia" w:ascii="宋体" w:hAnsi="宋体" w:eastAsia="宋体" w:cs="宋体"/>
                <w:color w:val="000000" w:themeColor="text1"/>
                <w:spacing w:val="-3"/>
                <w:szCs w:val="21"/>
                <w14:textFill>
                  <w14:solidFill>
                    <w14:schemeClr w14:val="tx1"/>
                  </w14:solidFill>
                </w14:textFill>
              </w:rPr>
              <w:t>文件</w:t>
            </w:r>
          </w:p>
        </w:tc>
        <w:tc>
          <w:tcPr>
            <w:tcW w:w="2866" w:type="pct"/>
            <w:tcBorders>
              <w:bottom w:val="single" w:color="auto" w:sz="4" w:space="0"/>
            </w:tcBorders>
            <w:vAlign w:val="center"/>
          </w:tcPr>
          <w:p w14:paraId="24DF0CC1">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（1）投标人为企业（包括合伙企业）的，应提供有效的营业执照；</w:t>
            </w:r>
          </w:p>
          <w:p w14:paraId="1BF919A3">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（2）投标人为事业单位的，应提供有效的事业单位法人证书；</w:t>
            </w:r>
          </w:p>
          <w:p w14:paraId="3E594DAB">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（3）投标人是非企业机构的，应提供有效的执业许可证或登记证书等证明文件；</w:t>
            </w:r>
          </w:p>
          <w:p w14:paraId="03056F98">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（4）投标人是个体工商户的，应提供有效的个体工商户营业执照；</w:t>
            </w:r>
          </w:p>
          <w:p w14:paraId="0296BEDD">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（5）投标人是自然人的，应提供有效的自然人身份证明。</w:t>
            </w:r>
          </w:p>
        </w:tc>
        <w:tc>
          <w:tcPr>
            <w:tcW w:w="1108" w:type="pct"/>
            <w:vAlign w:val="center"/>
          </w:tcPr>
          <w:p w14:paraId="6C24D0F1">
            <w:pPr>
              <w:kinsoku w:val="0"/>
              <w:overflowPunct w:val="0"/>
              <w:autoSpaceDE w:val="0"/>
              <w:autoSpaceDN w:val="0"/>
              <w:spacing w:line="32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提供材料应完整的体现出材料或证照全部内容。</w:t>
            </w:r>
          </w:p>
        </w:tc>
      </w:tr>
      <w:tr w14:paraId="60C8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tcBorders>
              <w:bottom w:val="single" w:color="auto" w:sz="4" w:space="0"/>
            </w:tcBorders>
            <w:vAlign w:val="center"/>
          </w:tcPr>
          <w:p w14:paraId="0BF49260">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684" w:type="pct"/>
            <w:tcBorders>
              <w:bottom w:val="single" w:color="auto" w:sz="4" w:space="0"/>
            </w:tcBorders>
            <w:vAlign w:val="center"/>
          </w:tcPr>
          <w:p w14:paraId="40A0138A">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投标人资格声明书</w:t>
            </w:r>
          </w:p>
        </w:tc>
        <w:tc>
          <w:tcPr>
            <w:tcW w:w="2866" w:type="pct"/>
            <w:tcBorders>
              <w:bottom w:val="single" w:color="auto" w:sz="4" w:space="0"/>
            </w:tcBorders>
            <w:vAlign w:val="center"/>
          </w:tcPr>
          <w:p w14:paraId="581A647B">
            <w:pPr>
              <w:kinsoku w:val="0"/>
              <w:overflowPunct w:val="0"/>
              <w:autoSpaceDE w:val="0"/>
              <w:autoSpaceDN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提供符合招标文件要求的《投标人资格声明书》。</w:t>
            </w:r>
          </w:p>
        </w:tc>
        <w:tc>
          <w:tcPr>
            <w:tcW w:w="1108" w:type="pct"/>
            <w:vAlign w:val="center"/>
          </w:tcPr>
          <w:p w14:paraId="078DAA3D">
            <w:pPr>
              <w:kinsoku w:val="0"/>
              <w:overflowPunct w:val="0"/>
              <w:autoSpaceDE w:val="0"/>
              <w:autoSpaceDN w:val="0"/>
              <w:spacing w:line="32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详见第六章投标文件格式。</w:t>
            </w:r>
          </w:p>
        </w:tc>
      </w:tr>
      <w:tr w14:paraId="0D47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14:paraId="0AE31214">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p>
        </w:tc>
        <w:tc>
          <w:tcPr>
            <w:tcW w:w="684" w:type="pct"/>
            <w:vAlign w:val="center"/>
          </w:tcPr>
          <w:p w14:paraId="44394F53">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授权书</w:t>
            </w:r>
          </w:p>
        </w:tc>
        <w:tc>
          <w:tcPr>
            <w:tcW w:w="2866" w:type="pct"/>
            <w:vAlign w:val="center"/>
          </w:tcPr>
          <w:p w14:paraId="65A4F69F">
            <w:pPr>
              <w:spacing w:line="320" w:lineRule="exact"/>
              <w:ind w:right="-1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格式、填写要求符合采购文件规定并加盖投标人公章。</w:t>
            </w:r>
          </w:p>
        </w:tc>
        <w:tc>
          <w:tcPr>
            <w:tcW w:w="1108" w:type="pct"/>
            <w:vAlign w:val="center"/>
          </w:tcPr>
          <w:p w14:paraId="049618F1">
            <w:pPr>
              <w:adjustRightInd w:val="0"/>
              <w:snapToGrid w:val="0"/>
              <w:spacing w:line="320" w:lineRule="exact"/>
              <w:ind w:right="-1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法定代表人参加投标的无需此件，提供身份证明即可。详见第六章响应文件格式。</w:t>
            </w:r>
          </w:p>
        </w:tc>
      </w:tr>
      <w:tr w14:paraId="5B56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vAlign w:val="center"/>
          </w:tcPr>
          <w:p w14:paraId="0D0FFB54">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p>
        </w:tc>
        <w:tc>
          <w:tcPr>
            <w:tcW w:w="684" w:type="pct"/>
            <w:vAlign w:val="center"/>
          </w:tcPr>
          <w:p w14:paraId="392989B3">
            <w:pPr>
              <w:kinsoku w:val="0"/>
              <w:overflowPunct w:val="0"/>
              <w:autoSpaceDE w:val="0"/>
              <w:autoSpaceDN w:val="0"/>
              <w:spacing w:line="320" w:lineRule="exact"/>
              <w:ind w:right="-10"/>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诚信投标承诺书</w:t>
            </w:r>
          </w:p>
        </w:tc>
        <w:tc>
          <w:tcPr>
            <w:tcW w:w="2866" w:type="pct"/>
            <w:vAlign w:val="center"/>
          </w:tcPr>
          <w:p w14:paraId="09947D1C">
            <w:pPr>
              <w:kinsoku w:val="0"/>
              <w:overflowPunct w:val="0"/>
              <w:autoSpaceDE w:val="0"/>
              <w:autoSpaceDN w:val="0"/>
              <w:spacing w:line="320" w:lineRule="exact"/>
              <w:ind w:right="-10"/>
              <w:jc w:val="left"/>
              <w:rPr>
                <w:rFonts w:hint="eastAsia" w:ascii="宋体" w:hAnsi="宋体" w:eastAsia="宋体"/>
                <w:color w:val="000000" w:themeColor="text1"/>
                <w:szCs w:val="21"/>
                <w:lang w:val="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提</w:t>
            </w:r>
            <w:r>
              <w:rPr>
                <w:rFonts w:ascii="宋体" w:hAnsi="宋体" w:eastAsia="宋体"/>
                <w:color w:val="000000" w:themeColor="text1"/>
                <w:szCs w:val="21"/>
                <w14:textFill>
                  <w14:solidFill>
                    <w14:schemeClr w14:val="tx1"/>
                  </w14:solidFill>
                </w14:textFill>
              </w:rPr>
              <w:t>供符合招标文件要求的《</w:t>
            </w:r>
            <w:r>
              <w:rPr>
                <w:rFonts w:hint="eastAsia" w:ascii="宋体" w:hAnsi="宋体" w:eastAsia="宋体"/>
                <w:color w:val="000000" w:themeColor="text1"/>
                <w:szCs w:val="21"/>
                <w14:textFill>
                  <w14:solidFill>
                    <w14:schemeClr w14:val="tx1"/>
                  </w14:solidFill>
                </w14:textFill>
              </w:rPr>
              <w:t>诚信投标承诺书</w:t>
            </w:r>
            <w:r>
              <w:rPr>
                <w:rFonts w:ascii="宋体" w:hAnsi="宋体" w:eastAsia="宋体"/>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w:t>
            </w:r>
          </w:p>
        </w:tc>
        <w:tc>
          <w:tcPr>
            <w:tcW w:w="1108" w:type="pct"/>
            <w:vAlign w:val="center"/>
          </w:tcPr>
          <w:p w14:paraId="20904FEC">
            <w:pPr>
              <w:kinsoku w:val="0"/>
              <w:overflowPunct w:val="0"/>
              <w:autoSpaceDE w:val="0"/>
              <w:autoSpaceDN w:val="0"/>
              <w:spacing w:line="320" w:lineRule="exact"/>
              <w:ind w:right="-10"/>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详见第六章投标文件格式。</w:t>
            </w:r>
          </w:p>
        </w:tc>
      </w:tr>
      <w:tr w14:paraId="6A70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340" w:type="pct"/>
            <w:vAlign w:val="center"/>
          </w:tcPr>
          <w:p w14:paraId="2FB9E35A">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w:t>
            </w:r>
          </w:p>
        </w:tc>
        <w:tc>
          <w:tcPr>
            <w:tcW w:w="684" w:type="pct"/>
            <w:vAlign w:val="center"/>
          </w:tcPr>
          <w:p w14:paraId="0953C84B">
            <w:pPr>
              <w:kinsoku w:val="0"/>
              <w:overflowPunct w:val="0"/>
              <w:autoSpaceDE w:val="0"/>
              <w:autoSpaceDN w:val="0"/>
              <w:spacing w:line="320" w:lineRule="exact"/>
              <w:ind w:right="-10"/>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诚信履约承诺函</w:t>
            </w:r>
          </w:p>
        </w:tc>
        <w:tc>
          <w:tcPr>
            <w:tcW w:w="2866" w:type="pct"/>
            <w:vAlign w:val="center"/>
          </w:tcPr>
          <w:p w14:paraId="6E379B7E">
            <w:pPr>
              <w:kinsoku w:val="0"/>
              <w:overflowPunct w:val="0"/>
              <w:autoSpaceDE w:val="0"/>
              <w:autoSpaceDN w:val="0"/>
              <w:spacing w:line="320" w:lineRule="exact"/>
              <w:ind w:right="-10"/>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提</w:t>
            </w:r>
            <w:r>
              <w:rPr>
                <w:rFonts w:ascii="宋体" w:hAnsi="宋体" w:eastAsia="宋体"/>
                <w:color w:val="000000" w:themeColor="text1"/>
                <w:szCs w:val="21"/>
                <w14:textFill>
                  <w14:solidFill>
                    <w14:schemeClr w14:val="tx1"/>
                  </w14:solidFill>
                </w14:textFill>
              </w:rPr>
              <w:t>供符合招标文件要求的《诚信履约承诺函》</w:t>
            </w:r>
            <w:r>
              <w:rPr>
                <w:rFonts w:hint="eastAsia" w:ascii="宋体" w:hAnsi="宋体" w:eastAsia="宋体"/>
                <w:color w:val="000000" w:themeColor="text1"/>
                <w:szCs w:val="21"/>
                <w14:textFill>
                  <w14:solidFill>
                    <w14:schemeClr w14:val="tx1"/>
                  </w14:solidFill>
                </w14:textFill>
              </w:rPr>
              <w:t>。</w:t>
            </w:r>
          </w:p>
        </w:tc>
        <w:tc>
          <w:tcPr>
            <w:tcW w:w="1108" w:type="pct"/>
            <w:vAlign w:val="center"/>
          </w:tcPr>
          <w:p w14:paraId="66551E18">
            <w:pPr>
              <w:kinsoku w:val="0"/>
              <w:overflowPunct w:val="0"/>
              <w:autoSpaceDE w:val="0"/>
              <w:autoSpaceDN w:val="0"/>
              <w:spacing w:line="320" w:lineRule="exact"/>
              <w:ind w:right="-10"/>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详见第六章投标文件格式。</w:t>
            </w:r>
          </w:p>
        </w:tc>
      </w:tr>
      <w:tr w14:paraId="1A11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 w:type="pct"/>
            <w:tcBorders>
              <w:bottom w:val="single" w:color="auto" w:sz="4" w:space="0"/>
            </w:tcBorders>
            <w:vAlign w:val="center"/>
          </w:tcPr>
          <w:p w14:paraId="73193695">
            <w:pPr>
              <w:kinsoku w:val="0"/>
              <w:overflowPunct w:val="0"/>
              <w:autoSpaceDE w:val="0"/>
              <w:autoSpaceDN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w:t>
            </w:r>
          </w:p>
        </w:tc>
        <w:tc>
          <w:tcPr>
            <w:tcW w:w="684" w:type="pct"/>
            <w:tcBorders>
              <w:bottom w:val="single" w:color="auto" w:sz="4" w:space="0"/>
            </w:tcBorders>
            <w:vAlign w:val="center"/>
          </w:tcPr>
          <w:p w14:paraId="294FF747">
            <w:pPr>
              <w:kinsoku w:val="0"/>
              <w:overflowPunct w:val="0"/>
              <w:autoSpaceDE w:val="0"/>
              <w:autoSpaceDN w:val="0"/>
              <w:spacing w:line="320" w:lineRule="exact"/>
              <w:ind w:right="-10"/>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本项目的特定资格要求</w:t>
            </w:r>
          </w:p>
        </w:tc>
        <w:tc>
          <w:tcPr>
            <w:tcW w:w="2866" w:type="pct"/>
            <w:tcBorders>
              <w:bottom w:val="single" w:color="auto" w:sz="4" w:space="0"/>
            </w:tcBorders>
            <w:vAlign w:val="center"/>
          </w:tcPr>
          <w:p w14:paraId="7BCE3016">
            <w:pPr>
              <w:kinsoku w:val="0"/>
              <w:overflowPunct w:val="0"/>
              <w:autoSpaceDE w:val="0"/>
              <w:autoSpaceDN w:val="0"/>
              <w:spacing w:line="320" w:lineRule="exact"/>
              <w:ind w:right="-10"/>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如有，见第一章《投标邀请》</w:t>
            </w:r>
          </w:p>
        </w:tc>
        <w:tc>
          <w:tcPr>
            <w:tcW w:w="1108" w:type="pct"/>
            <w:tcBorders>
              <w:bottom w:val="single" w:color="auto" w:sz="4" w:space="0"/>
            </w:tcBorders>
            <w:vAlign w:val="center"/>
          </w:tcPr>
          <w:p w14:paraId="3017BF45">
            <w:pPr>
              <w:kinsoku w:val="0"/>
              <w:overflowPunct w:val="0"/>
              <w:autoSpaceDE w:val="0"/>
              <w:autoSpaceDN w:val="0"/>
              <w:spacing w:line="320" w:lineRule="exact"/>
              <w:ind w:right="-10"/>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提供材料应完整的体现出材料或证照全部内容。</w:t>
            </w:r>
          </w:p>
        </w:tc>
      </w:tr>
    </w:tbl>
    <w:p w14:paraId="2AFD2FA7">
      <w:pPr>
        <w:spacing w:line="440" w:lineRule="exact"/>
        <w:ind w:left="-420" w:leftChars="-200" w:right="-313" w:rightChars="-149" w:firstLine="382" w:firstLineChars="18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资格审查指标通过标准：</w:t>
      </w:r>
      <w:r>
        <w:rPr>
          <w:rFonts w:hint="eastAsia" w:ascii="宋体" w:hAnsi="宋体" w:eastAsia="宋体" w:cs="宋体"/>
          <w:color w:val="000000" w:themeColor="text1"/>
          <w:szCs w:val="21"/>
          <w14:textFill>
            <w14:solidFill>
              <w14:schemeClr w14:val="tx1"/>
            </w14:solidFill>
          </w14:textFill>
        </w:rPr>
        <w:t>投标人必须通过资格审查表中的全部评审指标。</w:t>
      </w:r>
    </w:p>
    <w:p w14:paraId="4E19D0E4">
      <w:pPr>
        <w:spacing w:line="360" w:lineRule="exact"/>
        <w:ind w:firstLine="380" w:firstLineChars="181"/>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2.2符合性审查</w:t>
      </w:r>
    </w:p>
    <w:p w14:paraId="4F6F8FA5">
      <w:pPr>
        <w:spacing w:line="360" w:lineRule="exact"/>
        <w:ind w:firstLine="380" w:firstLineChars="18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评标委员会对通过资格审查的投标人的投标文件进行符合性审查，以确定其是否满足招标文件的实质性要求。符合性审查表如下：</w:t>
      </w:r>
    </w:p>
    <w:tbl>
      <w:tblPr>
        <w:tblStyle w:val="28"/>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532"/>
        <w:gridCol w:w="4140"/>
        <w:gridCol w:w="2894"/>
      </w:tblGrid>
      <w:tr w14:paraId="7B59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000" w:type="pct"/>
            <w:gridSpan w:val="4"/>
            <w:tcBorders>
              <w:bottom w:val="single" w:color="auto" w:sz="4" w:space="0"/>
            </w:tcBorders>
            <w:vAlign w:val="center"/>
          </w:tcPr>
          <w:p w14:paraId="05E69E76">
            <w:pPr>
              <w:adjustRightInd w:val="0"/>
              <w:snapToGrid w:val="0"/>
              <w:spacing w:line="320" w:lineRule="exact"/>
              <w:ind w:right="-10"/>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符合性审查表</w:t>
            </w:r>
          </w:p>
        </w:tc>
      </w:tr>
      <w:tr w14:paraId="63AA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tcBorders>
              <w:bottom w:val="single" w:color="auto" w:sz="4" w:space="0"/>
            </w:tcBorders>
            <w:vAlign w:val="center"/>
          </w:tcPr>
          <w:p w14:paraId="3F78BD5B">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序号</w:t>
            </w:r>
          </w:p>
        </w:tc>
        <w:tc>
          <w:tcPr>
            <w:tcW w:w="824" w:type="pct"/>
            <w:tcBorders>
              <w:bottom w:val="single" w:color="auto" w:sz="4" w:space="0"/>
            </w:tcBorders>
            <w:vAlign w:val="center"/>
          </w:tcPr>
          <w:p w14:paraId="16051DA9">
            <w:pPr>
              <w:pStyle w:val="47"/>
              <w:pBdr>
                <w:bottom w:val="none" w:color="auto" w:sz="0" w:space="0"/>
              </w:pBdr>
              <w:tabs>
                <w:tab w:val="clear" w:pos="4153"/>
                <w:tab w:val="clear" w:pos="8306"/>
              </w:tabs>
              <w:snapToGrid w:val="0"/>
              <w:spacing w:line="320" w:lineRule="exact"/>
              <w:ind w:right="-10"/>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审查指标</w:t>
            </w:r>
          </w:p>
        </w:tc>
        <w:tc>
          <w:tcPr>
            <w:tcW w:w="2227" w:type="pct"/>
            <w:tcBorders>
              <w:bottom w:val="single" w:color="auto" w:sz="4" w:space="0"/>
            </w:tcBorders>
            <w:vAlign w:val="center"/>
          </w:tcPr>
          <w:p w14:paraId="5D4F8873">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审查标准</w:t>
            </w:r>
          </w:p>
        </w:tc>
        <w:tc>
          <w:tcPr>
            <w:tcW w:w="1555" w:type="pct"/>
            <w:tcBorders>
              <w:bottom w:val="single" w:color="auto" w:sz="4" w:space="0"/>
            </w:tcBorders>
            <w:vAlign w:val="center"/>
          </w:tcPr>
          <w:p w14:paraId="4F329C7C">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格式要求</w:t>
            </w:r>
          </w:p>
        </w:tc>
      </w:tr>
      <w:tr w14:paraId="2E4C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392" w:type="pct"/>
            <w:vAlign w:val="center"/>
          </w:tcPr>
          <w:p w14:paraId="136B3EE3">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824" w:type="pct"/>
            <w:vAlign w:val="center"/>
          </w:tcPr>
          <w:p w14:paraId="1458333B">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开标一览表</w:t>
            </w:r>
          </w:p>
        </w:tc>
        <w:tc>
          <w:tcPr>
            <w:tcW w:w="2227" w:type="pct"/>
            <w:vAlign w:val="center"/>
          </w:tcPr>
          <w:p w14:paraId="16B20AB8">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格式、填写要求符合招标文件规定并加盖投标人公章</w:t>
            </w:r>
          </w:p>
        </w:tc>
        <w:tc>
          <w:tcPr>
            <w:tcW w:w="1555" w:type="pct"/>
            <w:vAlign w:val="center"/>
          </w:tcPr>
          <w:p w14:paraId="4751F5BB">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详见第六章投标文件格式。</w:t>
            </w:r>
          </w:p>
        </w:tc>
      </w:tr>
      <w:tr w14:paraId="49B1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vAlign w:val="center"/>
          </w:tcPr>
          <w:p w14:paraId="581289AF">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824" w:type="pct"/>
            <w:vAlign w:val="center"/>
          </w:tcPr>
          <w:p w14:paraId="5A38E97F">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投标函</w:t>
            </w:r>
          </w:p>
        </w:tc>
        <w:tc>
          <w:tcPr>
            <w:tcW w:w="2227" w:type="pct"/>
            <w:vAlign w:val="center"/>
          </w:tcPr>
          <w:p w14:paraId="54628EB1">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格式、填写要求符合招标文件规定并加盖投标人公章</w:t>
            </w:r>
          </w:p>
        </w:tc>
        <w:tc>
          <w:tcPr>
            <w:tcW w:w="1555" w:type="pct"/>
            <w:vAlign w:val="center"/>
          </w:tcPr>
          <w:p w14:paraId="6409092B">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详见第六章投标文件格式。</w:t>
            </w:r>
          </w:p>
        </w:tc>
      </w:tr>
      <w:tr w14:paraId="67FA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vAlign w:val="center"/>
          </w:tcPr>
          <w:p w14:paraId="414F735E">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p>
        </w:tc>
        <w:tc>
          <w:tcPr>
            <w:tcW w:w="824" w:type="pct"/>
            <w:vAlign w:val="center"/>
          </w:tcPr>
          <w:p w14:paraId="2009BDCF">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商务响应情况</w:t>
            </w:r>
          </w:p>
        </w:tc>
        <w:tc>
          <w:tcPr>
            <w:tcW w:w="2227" w:type="pct"/>
            <w:vAlign w:val="center"/>
          </w:tcPr>
          <w:p w14:paraId="30C36DD1">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符合招标文件采购需求中对付款方式、服务地点、服务期限等实质性要求</w:t>
            </w:r>
          </w:p>
        </w:tc>
        <w:tc>
          <w:tcPr>
            <w:tcW w:w="1555" w:type="pct"/>
            <w:vAlign w:val="center"/>
          </w:tcPr>
          <w:p w14:paraId="5458A691">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详见第六章投标文件格式。</w:t>
            </w:r>
          </w:p>
        </w:tc>
      </w:tr>
      <w:tr w14:paraId="3087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222F0CD4">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w:t>
            </w:r>
          </w:p>
        </w:tc>
        <w:tc>
          <w:tcPr>
            <w:tcW w:w="824" w:type="pct"/>
            <w:vAlign w:val="center"/>
          </w:tcPr>
          <w:p w14:paraId="020BF1B8">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其他要求</w:t>
            </w:r>
          </w:p>
        </w:tc>
        <w:tc>
          <w:tcPr>
            <w:tcW w:w="2227" w:type="pct"/>
            <w:vAlign w:val="center"/>
          </w:tcPr>
          <w:p w14:paraId="1F44C503">
            <w:pPr>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符合法律、行政法规规定的其他条件或招标文件列明的其他实质性要求</w:t>
            </w:r>
          </w:p>
        </w:tc>
        <w:tc>
          <w:tcPr>
            <w:tcW w:w="1555" w:type="pct"/>
            <w:vAlign w:val="center"/>
          </w:tcPr>
          <w:p w14:paraId="2C46BB2A">
            <w:pPr>
              <w:adjustRightInd w:val="0"/>
              <w:snapToGrid w:val="0"/>
              <w:spacing w:line="320" w:lineRule="exact"/>
              <w:ind w:right="-1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详见第六章投标文件格式。</w:t>
            </w:r>
          </w:p>
        </w:tc>
      </w:tr>
    </w:tbl>
    <w:p w14:paraId="49B60DC5">
      <w:pPr>
        <w:spacing w:line="360" w:lineRule="exact"/>
        <w:ind w:left="-420" w:leftChars="-200" w:right="-512" w:rightChars="-244" w:firstLine="382" w:firstLineChars="18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符合性审查指标通过标准：</w:t>
      </w:r>
      <w:r>
        <w:rPr>
          <w:rFonts w:hint="eastAsia" w:ascii="宋体" w:hAnsi="宋体" w:eastAsia="宋体" w:cs="宋体"/>
          <w:color w:val="000000" w:themeColor="text1"/>
          <w:szCs w:val="21"/>
          <w14:textFill>
            <w14:solidFill>
              <w14:schemeClr w14:val="tx1"/>
            </w14:solidFill>
          </w14:textFill>
        </w:rPr>
        <w:t>投标人必须通过符合性审查表中的全部评审指标。</w:t>
      </w:r>
    </w:p>
    <w:p w14:paraId="683B1F99">
      <w:pPr>
        <w:spacing w:line="360" w:lineRule="exact"/>
        <w:ind w:left="-420" w:leftChars="-200" w:right="-512" w:rightChars="-244" w:firstLine="380" w:firstLineChars="18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2.3异常低价投标审查</w:t>
      </w:r>
    </w:p>
    <w:tbl>
      <w:tblPr>
        <w:tblStyle w:val="28"/>
        <w:tblW w:w="50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119"/>
        <w:gridCol w:w="5767"/>
        <w:gridCol w:w="1752"/>
      </w:tblGrid>
      <w:tr w14:paraId="653F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31" w:type="dxa"/>
            <w:gridSpan w:val="4"/>
            <w:tcBorders>
              <w:bottom w:val="single" w:color="auto" w:sz="4" w:space="0"/>
            </w:tcBorders>
            <w:vAlign w:val="center"/>
          </w:tcPr>
          <w:p w14:paraId="3F38130A">
            <w:pPr>
              <w:spacing w:line="320" w:lineRule="exact"/>
              <w:ind w:firstLine="380" w:firstLineChars="181"/>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异常低价投标审查表</w:t>
            </w:r>
          </w:p>
        </w:tc>
      </w:tr>
      <w:tr w14:paraId="2537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Borders>
              <w:bottom w:val="single" w:color="auto" w:sz="4" w:space="0"/>
            </w:tcBorders>
            <w:vAlign w:val="center"/>
          </w:tcPr>
          <w:p w14:paraId="44BC0919">
            <w:pPr>
              <w:spacing w:line="320" w:lineRule="exact"/>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序号</w:t>
            </w:r>
          </w:p>
        </w:tc>
        <w:tc>
          <w:tcPr>
            <w:tcW w:w="1119" w:type="dxa"/>
            <w:tcBorders>
              <w:bottom w:val="single" w:color="auto" w:sz="4" w:space="0"/>
            </w:tcBorders>
            <w:vAlign w:val="center"/>
          </w:tcPr>
          <w:p w14:paraId="7CB5D706">
            <w:pPr>
              <w:spacing w:line="320" w:lineRule="exact"/>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评审指标</w:t>
            </w:r>
          </w:p>
        </w:tc>
        <w:tc>
          <w:tcPr>
            <w:tcW w:w="5767" w:type="dxa"/>
            <w:tcBorders>
              <w:bottom w:val="single" w:color="auto" w:sz="4" w:space="0"/>
            </w:tcBorders>
            <w:vAlign w:val="center"/>
          </w:tcPr>
          <w:p w14:paraId="6707044D">
            <w:pPr>
              <w:spacing w:line="320" w:lineRule="exact"/>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评审标准</w:t>
            </w:r>
          </w:p>
        </w:tc>
        <w:tc>
          <w:tcPr>
            <w:tcW w:w="1752" w:type="dxa"/>
            <w:tcBorders>
              <w:bottom w:val="single" w:color="auto" w:sz="4" w:space="0"/>
            </w:tcBorders>
            <w:vAlign w:val="center"/>
          </w:tcPr>
          <w:p w14:paraId="133CF962">
            <w:pPr>
              <w:spacing w:line="320" w:lineRule="exact"/>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格式及材料要求</w:t>
            </w:r>
          </w:p>
        </w:tc>
      </w:tr>
      <w:tr w14:paraId="702B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tcBorders>
              <w:bottom w:val="single" w:color="auto" w:sz="4" w:space="0"/>
            </w:tcBorders>
            <w:vAlign w:val="center"/>
          </w:tcPr>
          <w:p w14:paraId="6B57DE33">
            <w:pPr>
              <w:spacing w:line="320" w:lineRule="exact"/>
              <w:jc w:val="center"/>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1119" w:type="dxa"/>
            <w:tcBorders>
              <w:bottom w:val="single" w:color="auto" w:sz="4" w:space="0"/>
            </w:tcBorders>
            <w:vAlign w:val="center"/>
          </w:tcPr>
          <w:p w14:paraId="24F44D81">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异常低价投标审查</w:t>
            </w:r>
          </w:p>
        </w:tc>
        <w:tc>
          <w:tcPr>
            <w:tcW w:w="5767" w:type="dxa"/>
            <w:tcBorders>
              <w:bottom w:val="single" w:color="auto" w:sz="4" w:space="0"/>
            </w:tcBorders>
            <w:vAlign w:val="center"/>
          </w:tcPr>
          <w:p w14:paraId="4B4E14D2">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（1）投标报价＜全部通过符合性审查投标人投标报价平均值×50%；</w:t>
            </w:r>
          </w:p>
          <w:p w14:paraId="0D8196A8">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（2）投标报价＜通过符合性审查的次低报价投标人投标报价×50%；</w:t>
            </w:r>
          </w:p>
          <w:p w14:paraId="3F7D60C1">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（3）投标报价＜采购项目最高限价（如采购项目未设定最高限价的，以采购项目预算金额作为最高限价）×45%；</w:t>
            </w:r>
          </w:p>
          <w:p w14:paraId="47F5AF05">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（4）评标委员会基于专业判断，认为投标人报价过低，有可能影响产品质量或者不能诚信履约的其他情形。</w:t>
            </w:r>
          </w:p>
          <w:p w14:paraId="374823AA">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提醒：</w:t>
            </w:r>
          </w:p>
          <w:p w14:paraId="658D0A38">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上述第（1）项数值计算：涉及总价、单价的精确到“分”并四舍五入，涉及费率的精确到小数点后两位，第三位四舍五入（例：如平均值为123.456元，即为123.46元；如平均值为80.126%，即为80.13%）。</w:t>
            </w:r>
          </w:p>
        </w:tc>
        <w:tc>
          <w:tcPr>
            <w:tcW w:w="1752" w:type="dxa"/>
            <w:vAlign w:val="center"/>
          </w:tcPr>
          <w:p w14:paraId="6ECE01E6">
            <w:pPr>
              <w:spacing w:line="32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投标人在评审现场合理的时间内对价格作出解释，提供项目具体成本测算等与报价合理性相关的书面说明及必要的证明材料，包括但不限于原材料成本、人工成本、制造费用等。</w:t>
            </w:r>
          </w:p>
        </w:tc>
      </w:tr>
    </w:tbl>
    <w:p w14:paraId="59D36793">
      <w:pPr>
        <w:spacing w:line="40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注：</w:t>
      </w:r>
    </w:p>
    <w:p w14:paraId="1E394FD7">
      <w:pPr>
        <w:spacing w:line="40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根据《关于推进解决政府采购异常低价问题的通知》（财库〔2026〕2号），采购人可以结合具体项目实际情况，提高上述评审标准第（1）项至第（3）项中的数值标准，但是最高不得超过65%。</w:t>
      </w:r>
    </w:p>
    <w:p w14:paraId="17B8B1FE">
      <w:pPr>
        <w:spacing w:line="40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3）项情形，投标人已随投标文件一并提交相关书面说明及必要的证明材料的，在评审现场可不再重复提交。</w:t>
      </w:r>
    </w:p>
    <w:p w14:paraId="23910A4F">
      <w:pPr>
        <w:spacing w:line="40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无效投标处理。 </w:t>
      </w:r>
    </w:p>
    <w:p w14:paraId="0E45328C">
      <w:pPr>
        <w:spacing w:line="40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评标委员会借助互联网等渠道查询相关信息的，应当严格遵守评审工作纪律，不得实施影响评审公正的行为。异常低价投标审查的启动原因、审查意见和审查结果应当在评审报告中记录，并随投标人提供的相关书面说明及证明材料，以及评标委员会有关互联网浏览、查询历史一并归档。</w:t>
      </w:r>
    </w:p>
    <w:p w14:paraId="0FB0E108">
      <w:pPr>
        <w:spacing w:line="360" w:lineRule="exact"/>
        <w:outlineLvl w:val="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2.4详细审查</w:t>
      </w:r>
    </w:p>
    <w:p w14:paraId="0FB59DEA">
      <w:pPr>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2.4.1评标委员会按照下表对投标文件进行详细审查和评分。</w:t>
      </w:r>
    </w:p>
    <w:p w14:paraId="4577E1B7">
      <w:pPr>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2.4.2本项目综合评分满分为100分，其中：资信分值占总分值的权重为</w:t>
      </w:r>
      <w:r>
        <w:rPr>
          <w:rFonts w:hint="eastAsia" w:ascii="宋体" w:hAnsi="宋体" w:eastAsia="宋体" w:cs="宋体"/>
          <w:color w:val="000000" w:themeColor="text1"/>
          <w:szCs w:val="21"/>
          <w:u w:val="single"/>
          <w14:textFill>
            <w14:solidFill>
              <w14:schemeClr w14:val="tx1"/>
            </w14:solidFill>
          </w14:textFill>
        </w:rPr>
        <w:t>25</w:t>
      </w:r>
      <w:r>
        <w:rPr>
          <w:rFonts w:hint="eastAsia" w:ascii="宋体" w:hAnsi="宋体" w:eastAsia="宋体" w:cs="宋体"/>
          <w:color w:val="000000" w:themeColor="text1"/>
          <w:szCs w:val="21"/>
          <w14:textFill>
            <w14:solidFill>
              <w14:schemeClr w14:val="tx1"/>
            </w14:solidFill>
          </w14:textFill>
        </w:rPr>
        <w:t>%，技术分值占总分值的权重为</w:t>
      </w:r>
      <w:r>
        <w:rPr>
          <w:rFonts w:hint="eastAsia" w:ascii="宋体" w:hAnsi="宋体" w:eastAsia="宋体" w:cs="宋体"/>
          <w:color w:val="000000" w:themeColor="text1"/>
          <w:szCs w:val="21"/>
          <w:u w:val="single"/>
          <w14:textFill>
            <w14:solidFill>
              <w14:schemeClr w14:val="tx1"/>
            </w14:solidFill>
          </w14:textFill>
        </w:rPr>
        <w:t>45</w:t>
      </w:r>
      <w:r>
        <w:rPr>
          <w:rFonts w:hint="eastAsia" w:ascii="宋体" w:hAnsi="宋体" w:eastAsia="宋体" w:cs="宋体"/>
          <w:color w:val="000000" w:themeColor="text1"/>
          <w:szCs w:val="21"/>
          <w14:textFill>
            <w14:solidFill>
              <w14:schemeClr w14:val="tx1"/>
            </w14:solidFill>
          </w14:textFill>
        </w:rPr>
        <w:t>%，价格分值占总分值的权重为</w:t>
      </w:r>
      <w:r>
        <w:rPr>
          <w:rFonts w:hint="eastAsia" w:ascii="宋体" w:hAnsi="宋体" w:eastAsia="宋体" w:cs="宋体"/>
          <w:color w:val="000000" w:themeColor="text1"/>
          <w:szCs w:val="21"/>
          <w:u w:val="single"/>
          <w14:textFill>
            <w14:solidFill>
              <w14:schemeClr w14:val="tx1"/>
            </w14:solidFill>
          </w14:textFill>
        </w:rPr>
        <w:t>30</w:t>
      </w:r>
      <w:r>
        <w:rPr>
          <w:rFonts w:hint="eastAsia" w:ascii="宋体" w:hAnsi="宋体" w:eastAsia="宋体" w:cs="宋体"/>
          <w:color w:val="000000" w:themeColor="text1"/>
          <w:szCs w:val="21"/>
          <w14:textFill>
            <w14:solidFill>
              <w14:schemeClr w14:val="tx1"/>
            </w14:solidFill>
          </w14:textFill>
        </w:rPr>
        <w:t>%。具体评分细则如下：</w:t>
      </w:r>
    </w:p>
    <w:tbl>
      <w:tblPr>
        <w:tblStyle w:val="28"/>
        <w:tblW w:w="52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1536"/>
        <w:gridCol w:w="7010"/>
      </w:tblGrid>
      <w:tr w14:paraId="15F3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82" w:type="pct"/>
            <w:tcBorders>
              <w:top w:val="single" w:color="auto" w:sz="4" w:space="0"/>
              <w:left w:val="single" w:color="auto" w:sz="4" w:space="0"/>
              <w:bottom w:val="single" w:color="auto" w:sz="4" w:space="0"/>
              <w:right w:val="single" w:color="auto" w:sz="4" w:space="0"/>
            </w:tcBorders>
            <w:vAlign w:val="center"/>
          </w:tcPr>
          <w:p w14:paraId="231AFCCE">
            <w:pPr>
              <w:spacing w:line="360" w:lineRule="exact"/>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类别</w:t>
            </w:r>
          </w:p>
        </w:tc>
        <w:tc>
          <w:tcPr>
            <w:tcW w:w="794" w:type="pct"/>
            <w:tcBorders>
              <w:top w:val="single" w:color="auto" w:sz="4" w:space="0"/>
              <w:left w:val="single" w:color="auto" w:sz="4" w:space="0"/>
              <w:bottom w:val="single" w:color="auto" w:sz="4" w:space="0"/>
              <w:right w:val="single" w:color="auto" w:sz="4" w:space="0"/>
            </w:tcBorders>
            <w:vAlign w:val="center"/>
          </w:tcPr>
          <w:p w14:paraId="5D611DB6">
            <w:pPr>
              <w:spacing w:line="360" w:lineRule="exact"/>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评分内容</w:t>
            </w:r>
          </w:p>
        </w:tc>
        <w:tc>
          <w:tcPr>
            <w:tcW w:w="3623" w:type="pct"/>
            <w:tcBorders>
              <w:top w:val="single" w:color="auto" w:sz="4" w:space="0"/>
              <w:left w:val="single" w:color="auto" w:sz="4" w:space="0"/>
              <w:bottom w:val="single" w:color="auto" w:sz="4" w:space="0"/>
              <w:right w:val="single" w:color="auto" w:sz="4" w:space="0"/>
            </w:tcBorders>
            <w:vAlign w:val="center"/>
          </w:tcPr>
          <w:p w14:paraId="71BDB5C4">
            <w:pPr>
              <w:spacing w:line="360" w:lineRule="exact"/>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评分标准</w:t>
            </w:r>
          </w:p>
        </w:tc>
      </w:tr>
      <w:tr w14:paraId="46EF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582" w:type="pct"/>
            <w:vMerge w:val="restart"/>
            <w:tcBorders>
              <w:top w:val="single" w:color="auto" w:sz="4" w:space="0"/>
              <w:left w:val="single" w:color="auto" w:sz="4" w:space="0"/>
              <w:right w:val="single" w:color="auto" w:sz="4" w:space="0"/>
            </w:tcBorders>
            <w:vAlign w:val="center"/>
          </w:tcPr>
          <w:p w14:paraId="2A4ED19E">
            <w:pPr>
              <w:spacing w:line="360" w:lineRule="exact"/>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资信分（25分）</w:t>
            </w:r>
          </w:p>
        </w:tc>
        <w:tc>
          <w:tcPr>
            <w:tcW w:w="794" w:type="pct"/>
            <w:tcBorders>
              <w:top w:val="single" w:color="auto" w:sz="4" w:space="0"/>
              <w:left w:val="single" w:color="auto" w:sz="4" w:space="0"/>
              <w:bottom w:val="single" w:color="auto" w:sz="4" w:space="0"/>
              <w:right w:val="single" w:color="auto" w:sz="4" w:space="0"/>
            </w:tcBorders>
            <w:vAlign w:val="center"/>
          </w:tcPr>
          <w:p w14:paraId="2CCC62EE">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业绩</w:t>
            </w:r>
          </w:p>
          <w:p w14:paraId="37FC17B5">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（10分）</w:t>
            </w:r>
          </w:p>
        </w:tc>
        <w:tc>
          <w:tcPr>
            <w:tcW w:w="3623" w:type="pct"/>
            <w:tcBorders>
              <w:top w:val="single" w:color="auto" w:sz="4" w:space="0"/>
              <w:left w:val="single" w:color="auto" w:sz="4" w:space="0"/>
              <w:bottom w:val="single" w:color="auto" w:sz="4" w:space="0"/>
              <w:right w:val="single" w:color="auto" w:sz="4" w:space="0"/>
            </w:tcBorders>
            <w:vAlign w:val="center"/>
          </w:tcPr>
          <w:p w14:paraId="5D264D06">
            <w:pPr>
              <w:spacing w:line="360" w:lineRule="exact"/>
              <w:jc w:val="left"/>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1、自2023年1月1日至今（以合同签订时间为准），投标人具有AI视频短剧制作业绩的，得5分；</w:t>
            </w:r>
          </w:p>
          <w:p w14:paraId="2165C9F4">
            <w:pPr>
              <w:spacing w:line="360" w:lineRule="exact"/>
              <w:jc w:val="left"/>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2、自2023年1月1日至今（以合同签订时间为准），投标人具有健康科普类AI视频短剧制作业绩的，得5分；</w:t>
            </w:r>
          </w:p>
          <w:p w14:paraId="59016942">
            <w:pPr>
              <w:spacing w:line="360" w:lineRule="exact"/>
              <w:jc w:val="left"/>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注：①提供合同复印件，如合同中无法体现签订时间、服务内容等关键信息的，须另附业主单位（合同甲方）提供的证明材料，否则不予认可。</w:t>
            </w:r>
          </w:p>
          <w:p w14:paraId="262FFE17">
            <w:pPr>
              <w:spacing w:line="360" w:lineRule="exact"/>
              <w:jc w:val="left"/>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②提供的项目业绩只计算评标分值对应的项目数量，按照排列顺序从首个业绩开始评审至对应数量，超出部分不进行评审。对应数量内业绩不符合招标文件要求不得分的，不再补充评审超出部分业绩。如：提供2个业绩即得满分的，按照投标文件排序评审第一、第二项业绩，其余超出部分不再评审。</w:t>
            </w:r>
          </w:p>
          <w:p w14:paraId="1A338E87">
            <w:pPr>
              <w:spacing w:line="360" w:lineRule="exact"/>
              <w:jc w:val="left"/>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③1、2业绩相同的仅计分一次，不重复计分。</w:t>
            </w:r>
          </w:p>
        </w:tc>
      </w:tr>
      <w:tr w14:paraId="2A94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82" w:type="pct"/>
            <w:vMerge w:val="continue"/>
            <w:tcBorders>
              <w:left w:val="single" w:color="auto" w:sz="4" w:space="0"/>
              <w:right w:val="single" w:color="auto" w:sz="4" w:space="0"/>
            </w:tcBorders>
            <w:vAlign w:val="center"/>
          </w:tcPr>
          <w:p w14:paraId="6D14FB7D">
            <w:pPr>
              <w:spacing w:line="360" w:lineRule="exact"/>
              <w:jc w:val="center"/>
              <w:rPr>
                <w:rFonts w:hint="eastAsia" w:ascii="宋体" w:hAnsi="宋体" w:eastAsia="宋体" w:cs="宋体"/>
                <w:b/>
                <w:bCs/>
                <w:color w:val="000000" w:themeColor="text1"/>
                <w:szCs w:val="21"/>
                <w14:textFill>
                  <w14:solidFill>
                    <w14:schemeClr w14:val="tx1"/>
                  </w14:solidFill>
                </w14:textFill>
              </w:rPr>
            </w:pPr>
          </w:p>
        </w:tc>
        <w:tc>
          <w:tcPr>
            <w:tcW w:w="794" w:type="pct"/>
            <w:tcBorders>
              <w:top w:val="single" w:color="auto" w:sz="4" w:space="0"/>
              <w:left w:val="single" w:color="auto" w:sz="4" w:space="0"/>
              <w:bottom w:val="single" w:color="auto" w:sz="4" w:space="0"/>
              <w:right w:val="single" w:color="auto" w:sz="4" w:space="0"/>
            </w:tcBorders>
            <w:vAlign w:val="center"/>
          </w:tcPr>
          <w:p w14:paraId="5900CCA4">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荣誉及奖项</w:t>
            </w:r>
          </w:p>
          <w:p w14:paraId="0EB78E84">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（10分）</w:t>
            </w:r>
          </w:p>
        </w:tc>
        <w:tc>
          <w:tcPr>
            <w:tcW w:w="3623" w:type="pct"/>
            <w:tcBorders>
              <w:top w:val="single" w:color="auto" w:sz="4" w:space="0"/>
              <w:left w:val="single" w:color="auto" w:sz="4" w:space="0"/>
              <w:bottom w:val="single" w:color="auto" w:sz="4" w:space="0"/>
              <w:right w:val="single" w:color="auto" w:sz="4" w:space="0"/>
            </w:tcBorders>
            <w:vAlign w:val="center"/>
          </w:tcPr>
          <w:p w14:paraId="32E316C0">
            <w:pPr>
              <w:spacing w:line="320" w:lineRule="exact"/>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投标人2023年1月1日以来（以证书日期为准），获得过国家行政部门/事业单位（学会和协会除外）举办的健康科普类大赛奖项的，国家级奖项得10分，省级奖项得8分，市级奖项得6分。</w:t>
            </w:r>
          </w:p>
          <w:p w14:paraId="4CEC9173">
            <w:pPr>
              <w:spacing w:line="320" w:lineRule="exact"/>
              <w:rPr>
                <w:rFonts w:hint="eastAsia" w:ascii="宋体" w:hAnsi="宋体" w:eastAsia="宋体" w:cs="宋体"/>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注：提供相关证书或证明材料复印件。</w:t>
            </w:r>
          </w:p>
        </w:tc>
      </w:tr>
      <w:tr w14:paraId="288F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582" w:type="pct"/>
            <w:vMerge w:val="continue"/>
            <w:tcBorders>
              <w:left w:val="single" w:color="auto" w:sz="4" w:space="0"/>
              <w:bottom w:val="single" w:color="auto" w:sz="4" w:space="0"/>
              <w:right w:val="single" w:color="auto" w:sz="4" w:space="0"/>
            </w:tcBorders>
            <w:vAlign w:val="center"/>
          </w:tcPr>
          <w:p w14:paraId="2A0EC126">
            <w:pPr>
              <w:spacing w:line="360" w:lineRule="exact"/>
              <w:jc w:val="center"/>
              <w:rPr>
                <w:rFonts w:hint="eastAsia" w:ascii="宋体" w:hAnsi="宋体" w:eastAsia="宋体" w:cs="宋体"/>
                <w:b/>
                <w:bCs/>
                <w:color w:val="000000" w:themeColor="text1"/>
                <w:szCs w:val="21"/>
                <w14:textFill>
                  <w14:solidFill>
                    <w14:schemeClr w14:val="tx1"/>
                  </w14:solidFill>
                </w14:textFill>
              </w:rPr>
            </w:pPr>
          </w:p>
        </w:tc>
        <w:tc>
          <w:tcPr>
            <w:tcW w:w="794" w:type="pct"/>
            <w:tcBorders>
              <w:top w:val="single" w:color="auto" w:sz="4" w:space="0"/>
              <w:left w:val="single" w:color="auto" w:sz="4" w:space="0"/>
              <w:bottom w:val="single" w:color="auto" w:sz="4" w:space="0"/>
              <w:right w:val="single" w:color="auto" w:sz="4" w:space="0"/>
            </w:tcBorders>
            <w:vAlign w:val="center"/>
          </w:tcPr>
          <w:p w14:paraId="131486B4">
            <w:pPr>
              <w:spacing w:line="320" w:lineRule="exact"/>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人员配备</w:t>
            </w:r>
          </w:p>
          <w:p w14:paraId="15806E33">
            <w:pPr>
              <w:spacing w:line="320" w:lineRule="exact"/>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（5分）</w:t>
            </w:r>
          </w:p>
        </w:tc>
        <w:tc>
          <w:tcPr>
            <w:tcW w:w="3623" w:type="pct"/>
            <w:tcBorders>
              <w:top w:val="single" w:color="auto" w:sz="4" w:space="0"/>
              <w:left w:val="single" w:color="auto" w:sz="4" w:space="0"/>
              <w:bottom w:val="single" w:color="auto" w:sz="4" w:space="0"/>
              <w:right w:val="single" w:color="auto" w:sz="4" w:space="0"/>
            </w:tcBorders>
          </w:tcPr>
          <w:p w14:paraId="7B1066F3">
            <w:pPr>
              <w:spacing w:line="320" w:lineRule="exact"/>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投标人拟为本项目配备的技术人员中，具有动漫、数媒、传媒、导演及AI等相关专业类人员的，提供1人得2.5分，最高得5分。</w:t>
            </w:r>
          </w:p>
          <w:p w14:paraId="3F4A82F8">
            <w:pPr>
              <w:spacing w:line="320" w:lineRule="exact"/>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注：提供人员身份证（含正反）及毕业证书复印件。</w:t>
            </w:r>
          </w:p>
        </w:tc>
      </w:tr>
      <w:tr w14:paraId="3C8F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2" w:type="pct"/>
            <w:vMerge w:val="restart"/>
            <w:tcBorders>
              <w:top w:val="single" w:color="auto" w:sz="4" w:space="0"/>
              <w:left w:val="single" w:color="auto" w:sz="4" w:space="0"/>
              <w:right w:val="single" w:color="auto" w:sz="4" w:space="0"/>
            </w:tcBorders>
            <w:vAlign w:val="center"/>
          </w:tcPr>
          <w:p w14:paraId="1B89BD04">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技术分值</w:t>
            </w:r>
          </w:p>
          <w:p w14:paraId="0E24F449">
            <w:pPr>
              <w:spacing w:line="360" w:lineRule="exact"/>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（45分）</w:t>
            </w:r>
          </w:p>
        </w:tc>
        <w:tc>
          <w:tcPr>
            <w:tcW w:w="794" w:type="pct"/>
            <w:tcBorders>
              <w:top w:val="single" w:color="auto" w:sz="4" w:space="0"/>
              <w:left w:val="single" w:color="auto" w:sz="4" w:space="0"/>
              <w:right w:val="single" w:color="auto" w:sz="4" w:space="0"/>
            </w:tcBorders>
            <w:vAlign w:val="center"/>
          </w:tcPr>
          <w:p w14:paraId="3ABC3FFB">
            <w:pPr>
              <w:pStyle w:val="73"/>
              <w:spacing w:line="320" w:lineRule="exact"/>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创作文案   （25分）</w:t>
            </w:r>
          </w:p>
        </w:tc>
        <w:tc>
          <w:tcPr>
            <w:tcW w:w="3623" w:type="pct"/>
            <w:tcBorders>
              <w:top w:val="single" w:color="auto" w:sz="4" w:space="0"/>
              <w:left w:val="single" w:color="auto" w:sz="4" w:space="0"/>
              <w:bottom w:val="single" w:color="auto" w:sz="4" w:space="0"/>
              <w:right w:val="single" w:color="auto" w:sz="4" w:space="0"/>
            </w:tcBorders>
            <w:vAlign w:val="center"/>
          </w:tcPr>
          <w:p w14:paraId="62EF4125">
            <w:pPr>
              <w:pStyle w:val="74"/>
              <w:spacing w:line="320" w:lineRule="exact"/>
              <w:rPr>
                <w:rFonts w:hint="eastAsia"/>
                <w:b/>
                <w:bCs/>
                <w:color w:val="000000" w:themeColor="text1"/>
                <w:szCs w:val="21"/>
                <w:u w:val="single"/>
                <w:lang w:val="en-US"/>
                <w14:textFill>
                  <w14:solidFill>
                    <w14:schemeClr w14:val="tx1"/>
                  </w14:solidFill>
                </w14:textFill>
              </w:rPr>
            </w:pPr>
            <w:r>
              <w:rPr>
                <w:rFonts w:hint="eastAsia"/>
                <w:color w:val="000000" w:themeColor="text1"/>
                <w:szCs w:val="21"/>
                <w:lang w:val="en-US"/>
                <w14:textFill>
                  <w14:solidFill>
                    <w14:schemeClr w14:val="tx1"/>
                  </w14:solidFill>
                </w14:textFill>
              </w:rPr>
              <w:t>投标人根据《中国公民健康素养—基本知识与技能（2024年版）》中的66条内容制作1集文案（内容自选，可选择1条或多条），文案要求从创新性（形式新颖）、科学性（所有术语、机制及数据须溯源至权威指南或文献）、通俗性（能将复杂的原理转化为通俗易懂知识）、趣味性（规避说教感）、共情性（拒绝冷漠科普）、故事性（以人物案例或情景剧形式）出发，结合知识内容进行创作。评标委员会根据文案进行综合评分：</w:t>
            </w:r>
          </w:p>
          <w:p w14:paraId="0FA314CA">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①</w:t>
            </w:r>
            <w:r>
              <w:rPr>
                <w:rFonts w:hint="eastAsia"/>
                <w:color w:val="000000" w:themeColor="text1"/>
                <w:szCs w:val="21"/>
                <w:lang w:val="en-US"/>
                <w14:textFill>
                  <w14:solidFill>
                    <w14:schemeClr w14:val="tx1"/>
                  </w14:solidFill>
                </w14:textFill>
              </w:rPr>
              <w:t>思路清晰，内容完整，能贴切表达文案主题，通俗易懂，可实现性强，完全符合项目需求的，得20-25分；</w:t>
            </w:r>
          </w:p>
          <w:p w14:paraId="7E6155E2">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②</w:t>
            </w:r>
            <w:r>
              <w:rPr>
                <w:rFonts w:hint="eastAsia"/>
                <w:color w:val="000000" w:themeColor="text1"/>
                <w:szCs w:val="21"/>
                <w:lang w:val="en-US"/>
                <w14:textFill>
                  <w14:solidFill>
                    <w14:schemeClr w14:val="tx1"/>
                  </w14:solidFill>
                </w14:textFill>
              </w:rPr>
              <w:t>思路较清晰，内容较完整，较能贴切表达文案主题，较通俗易懂，可实现，符合项目需求的，得14-19分；</w:t>
            </w:r>
          </w:p>
          <w:p w14:paraId="7728AA65">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③</w:t>
            </w:r>
            <w:r>
              <w:rPr>
                <w:rFonts w:hint="eastAsia"/>
                <w:color w:val="000000" w:themeColor="text1"/>
                <w:szCs w:val="21"/>
                <w:lang w:val="en-US"/>
                <w14:textFill>
                  <w14:solidFill>
                    <w14:schemeClr w14:val="tx1"/>
                  </w14:solidFill>
                </w14:textFill>
              </w:rPr>
              <w:t>思路基本清晰，内容基本完整，基本表达文案主题，文案基本可以实现，得8-13分；</w:t>
            </w:r>
          </w:p>
          <w:p w14:paraId="6E1DE916">
            <w:pPr>
              <w:pStyle w:val="74"/>
              <w:spacing w:line="320" w:lineRule="exact"/>
              <w:rPr>
                <w:rFonts w:hint="eastAsia"/>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 xml:space="preserve">④思路内容有缺陷，未完全表达文案主题的，得1-7分； </w:t>
            </w:r>
          </w:p>
          <w:p w14:paraId="0C83EFB3">
            <w:pPr>
              <w:pStyle w:val="74"/>
              <w:spacing w:line="320" w:lineRule="exact"/>
              <w:rPr>
                <w:rFonts w:hint="eastAsia"/>
                <w:color w:val="000000" w:themeColor="text1"/>
                <w:spacing w:val="2"/>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⑤</w:t>
            </w:r>
            <w:r>
              <w:rPr>
                <w:rFonts w:hint="eastAsia"/>
                <w:color w:val="000000" w:themeColor="text1"/>
                <w:szCs w:val="21"/>
                <w:lang w:val="en-US"/>
                <w14:textFill>
                  <w14:solidFill>
                    <w14:schemeClr w14:val="tx1"/>
                  </w14:solidFill>
                </w14:textFill>
              </w:rPr>
              <w:t>未包含以上内容，或提供的内容完全不符合项目需求的</w:t>
            </w:r>
            <w:r>
              <w:rPr>
                <w:rFonts w:hint="eastAsia"/>
                <w:color w:val="000000" w:themeColor="text1"/>
                <w:spacing w:val="2"/>
                <w:szCs w:val="21"/>
                <w:lang w:val="en-US"/>
                <w14:textFill>
                  <w14:solidFill>
                    <w14:schemeClr w14:val="tx1"/>
                  </w14:solidFill>
                </w14:textFill>
              </w:rPr>
              <w:t>不得分。</w:t>
            </w:r>
          </w:p>
        </w:tc>
      </w:tr>
      <w:tr w14:paraId="0828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82" w:type="pct"/>
            <w:vMerge w:val="continue"/>
            <w:tcBorders>
              <w:left w:val="single" w:color="auto" w:sz="4" w:space="0"/>
              <w:right w:val="single" w:color="auto" w:sz="4" w:space="0"/>
            </w:tcBorders>
            <w:vAlign w:val="center"/>
          </w:tcPr>
          <w:p w14:paraId="634F7130">
            <w:pPr>
              <w:spacing w:line="360" w:lineRule="exact"/>
              <w:rPr>
                <w:rFonts w:hint="eastAsia" w:ascii="宋体" w:hAnsi="宋体" w:eastAsia="宋体" w:cs="宋体"/>
                <w:b/>
                <w:bCs/>
                <w:color w:val="000000" w:themeColor="text1"/>
                <w:szCs w:val="21"/>
                <w14:textFill>
                  <w14:solidFill>
                    <w14:schemeClr w14:val="tx1"/>
                  </w14:solidFill>
                </w14:textFill>
              </w:rPr>
            </w:pPr>
          </w:p>
        </w:tc>
        <w:tc>
          <w:tcPr>
            <w:tcW w:w="794" w:type="pct"/>
            <w:tcBorders>
              <w:left w:val="single" w:color="auto" w:sz="4" w:space="0"/>
              <w:right w:val="single" w:color="auto" w:sz="4" w:space="0"/>
            </w:tcBorders>
            <w:vAlign w:val="center"/>
          </w:tcPr>
          <w:p w14:paraId="79B62769">
            <w:pPr>
              <w:pStyle w:val="73"/>
              <w:spacing w:line="320" w:lineRule="exact"/>
              <w:jc w:val="center"/>
              <w:rPr>
                <w:rFonts w:hint="eastAsia" w:ascii="宋体" w:hAnsi="宋体" w:eastAsia="宋体" w:cs="宋体"/>
                <w:color w:val="000000" w:themeColor="text1"/>
                <w:lang w:eastAsia="zh-CN"/>
                <w14:textFill>
                  <w14:solidFill>
                    <w14:schemeClr w14:val="tx1"/>
                  </w14:solidFill>
                </w14:textFill>
              </w:rPr>
            </w:pPr>
          </w:p>
          <w:p w14:paraId="5C12D357">
            <w:pPr>
              <w:pStyle w:val="73"/>
              <w:spacing w:line="320" w:lineRule="exact"/>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样片（20分）</w:t>
            </w:r>
            <w:r>
              <w:rPr>
                <w:rFonts w:hint="eastAsia" w:ascii="宋体" w:hAnsi="宋体" w:eastAsia="宋体" w:cs="宋体"/>
                <w:b/>
                <w:bCs/>
                <w:color w:val="000000" w:themeColor="text1"/>
                <w:lang w:eastAsia="zh-CN"/>
                <w14:textFill>
                  <w14:solidFill>
                    <w14:schemeClr w14:val="tx1"/>
                  </w14:solidFill>
                </w14:textFill>
              </w:rPr>
              <w:t>（储存在U盘中、密封于技术文件中）</w:t>
            </w:r>
          </w:p>
        </w:tc>
        <w:tc>
          <w:tcPr>
            <w:tcW w:w="3623" w:type="pct"/>
            <w:tcBorders>
              <w:top w:val="single" w:color="auto" w:sz="4" w:space="0"/>
              <w:left w:val="single" w:color="auto" w:sz="4" w:space="0"/>
              <w:bottom w:val="single" w:color="auto" w:sz="4" w:space="0"/>
              <w:right w:val="single" w:color="auto" w:sz="4" w:space="0"/>
            </w:tcBorders>
            <w:vAlign w:val="center"/>
          </w:tcPr>
          <w:p w14:paraId="59429588">
            <w:pPr>
              <w:pStyle w:val="74"/>
              <w:spacing w:line="320" w:lineRule="exact"/>
              <w:rPr>
                <w:rFonts w:hint="eastAsia"/>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根据上述创作文案利用AI制作样片（</w:t>
            </w:r>
            <w:r>
              <w:rPr>
                <w:color w:val="000000" w:themeColor="text1"/>
                <w:szCs w:val="21"/>
                <w14:textFill>
                  <w14:solidFill>
                    <w14:schemeClr w14:val="tx1"/>
                  </w14:solidFill>
                </w14:textFill>
              </w:rPr>
              <w:t>MP4格式</w:t>
            </w:r>
            <w:r>
              <w:rPr>
                <w:rFonts w:hint="eastAsia"/>
                <w:color w:val="000000" w:themeColor="text1"/>
                <w:szCs w:val="21"/>
                <w:lang w:val="en-US"/>
                <w14:textFill>
                  <w14:solidFill>
                    <w14:schemeClr w14:val="tx1"/>
                  </w14:solidFill>
                </w14:textFill>
              </w:rPr>
              <w:t>,样片必须符合相关规范性文件），时长不少于7分钟，评标委员会根据以下两个方面进行综合评分。</w:t>
            </w:r>
          </w:p>
          <w:p w14:paraId="6A6F75F2">
            <w:pPr>
              <w:pStyle w:val="74"/>
              <w:spacing w:line="320" w:lineRule="exact"/>
              <w:rPr>
                <w:rFonts w:hint="eastAsia"/>
                <w:b/>
                <w:bCs/>
                <w:color w:val="000000" w:themeColor="text1"/>
                <w:szCs w:val="21"/>
                <w:lang w:val="en-US"/>
                <w14:textFill>
                  <w14:solidFill>
                    <w14:schemeClr w14:val="tx1"/>
                  </w14:solidFill>
                </w14:textFill>
              </w:rPr>
            </w:pPr>
            <w:r>
              <w:rPr>
                <w:rFonts w:hint="eastAsia"/>
                <w:b/>
                <w:bCs/>
                <w:color w:val="000000" w:themeColor="text1"/>
                <w:szCs w:val="21"/>
                <w:lang w:val="en-US"/>
                <w14:textFill>
                  <w14:solidFill>
                    <w14:schemeClr w14:val="tx1"/>
                  </w14:solidFill>
                </w14:textFill>
              </w:rPr>
              <w:t>1、样片的表现形式及整体连贯性方面：</w:t>
            </w:r>
          </w:p>
          <w:p w14:paraId="510CA233">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①</w:t>
            </w:r>
            <w:r>
              <w:rPr>
                <w:rFonts w:hint="eastAsia"/>
                <w:color w:val="000000" w:themeColor="text1"/>
                <w:szCs w:val="21"/>
                <w:lang w:val="en-US"/>
                <w14:textFill>
                  <w14:solidFill>
                    <w14:schemeClr w14:val="tx1"/>
                  </w14:solidFill>
                </w14:textFill>
              </w:rPr>
              <w:t>表现形式创新，连贯性强的，得8-10分；</w:t>
            </w:r>
          </w:p>
          <w:p w14:paraId="6CB75DD5">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②</w:t>
            </w:r>
            <w:r>
              <w:rPr>
                <w:rFonts w:hint="eastAsia"/>
                <w:color w:val="000000" w:themeColor="text1"/>
                <w:szCs w:val="21"/>
                <w:lang w:val="en-US"/>
                <w14:textFill>
                  <w14:solidFill>
                    <w14:schemeClr w14:val="tx1"/>
                  </w14:solidFill>
                </w14:textFill>
              </w:rPr>
              <w:t>表现形式较新颖，较连贯的，得4-7分；</w:t>
            </w:r>
          </w:p>
          <w:p w14:paraId="5197B661">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③</w:t>
            </w:r>
            <w:r>
              <w:rPr>
                <w:rFonts w:hint="eastAsia"/>
                <w:color w:val="000000" w:themeColor="text1"/>
                <w:szCs w:val="21"/>
                <w:lang w:val="en-US"/>
                <w14:textFill>
                  <w14:solidFill>
                    <w14:schemeClr w14:val="tx1"/>
                  </w14:solidFill>
                </w14:textFill>
              </w:rPr>
              <w:t>表现形式一般，连贯性一般的，得1-3分；</w:t>
            </w:r>
          </w:p>
          <w:p w14:paraId="443C86C6">
            <w:pPr>
              <w:pStyle w:val="74"/>
              <w:spacing w:line="320" w:lineRule="exact"/>
              <w:rPr>
                <w:rFonts w:hint="eastAsia"/>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④未包含以上内容，或提供的内容完全不符合项目需求的</w:t>
            </w:r>
            <w:r>
              <w:rPr>
                <w:rFonts w:hint="eastAsia"/>
                <w:color w:val="000000" w:themeColor="text1"/>
                <w:spacing w:val="2"/>
                <w:szCs w:val="21"/>
                <w:lang w:val="en-US"/>
                <w14:textFill>
                  <w14:solidFill>
                    <w14:schemeClr w14:val="tx1"/>
                  </w14:solidFill>
                </w14:textFill>
              </w:rPr>
              <w:t>不得分。</w:t>
            </w:r>
          </w:p>
          <w:p w14:paraId="610B241B">
            <w:pPr>
              <w:pStyle w:val="74"/>
              <w:numPr>
                <w:ilvl w:val="0"/>
                <w:numId w:val="5"/>
              </w:numPr>
              <w:spacing w:line="320" w:lineRule="exact"/>
              <w:rPr>
                <w:rFonts w:hint="eastAsia"/>
                <w:b/>
                <w:bCs/>
                <w:color w:val="000000" w:themeColor="text1"/>
                <w:szCs w:val="21"/>
                <w:lang w:val="en-US"/>
                <w14:textFill>
                  <w14:solidFill>
                    <w14:schemeClr w14:val="tx1"/>
                  </w14:solidFill>
                </w14:textFill>
              </w:rPr>
            </w:pPr>
            <w:r>
              <w:rPr>
                <w:rFonts w:hint="eastAsia"/>
                <w:b/>
                <w:bCs/>
                <w:color w:val="000000" w:themeColor="text1"/>
                <w:szCs w:val="21"/>
                <w:lang w:val="en-US"/>
                <w14:textFill>
                  <w14:solidFill>
                    <w14:schemeClr w14:val="tx1"/>
                  </w14:solidFill>
                </w14:textFill>
              </w:rPr>
              <w:t>样片在健康素养66条科普知识方面：</w:t>
            </w:r>
          </w:p>
          <w:p w14:paraId="03751945">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①</w:t>
            </w:r>
            <w:r>
              <w:rPr>
                <w:rFonts w:hint="eastAsia"/>
                <w:color w:val="000000" w:themeColor="text1"/>
                <w:szCs w:val="21"/>
                <w:lang w:val="en-US"/>
                <w14:textFill>
                  <w14:solidFill>
                    <w14:schemeClr w14:val="tx1"/>
                  </w14:solidFill>
                </w14:textFill>
              </w:rPr>
              <w:t>完整体现主题知识内容，表达清晰，通俗易懂的，得8-10分；</w:t>
            </w:r>
          </w:p>
          <w:p w14:paraId="3E573067">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②</w:t>
            </w:r>
            <w:r>
              <w:rPr>
                <w:rFonts w:hint="eastAsia"/>
                <w:color w:val="000000" w:themeColor="text1"/>
                <w:szCs w:val="21"/>
                <w:lang w:val="en-US"/>
                <w14:textFill>
                  <w14:solidFill>
                    <w14:schemeClr w14:val="tx1"/>
                  </w14:solidFill>
                </w14:textFill>
              </w:rPr>
              <w:t>较完整体现主题知识内容，表达较清晰，较通俗易懂的，得4-7分；</w:t>
            </w:r>
          </w:p>
          <w:p w14:paraId="31E8AC12">
            <w:pPr>
              <w:pStyle w:val="74"/>
              <w:spacing w:line="320" w:lineRule="exact"/>
              <w:rPr>
                <w:rFonts w:hint="eastAsia"/>
                <w:color w:val="000000" w:themeColor="text1"/>
                <w:szCs w:val="21"/>
                <w:lang w:val="en-US"/>
                <w14:textFill>
                  <w14:solidFill>
                    <w14:schemeClr w14:val="tx1"/>
                  </w14:solidFill>
                </w14:textFill>
              </w:rPr>
            </w:pPr>
            <w:r>
              <w:rPr>
                <w:rFonts w:hint="eastAsia" w:ascii="微软雅黑" w:hAnsi="微软雅黑" w:eastAsia="微软雅黑" w:cs="微软雅黑"/>
                <w:color w:val="000000" w:themeColor="text1"/>
                <w:szCs w:val="21"/>
                <w:lang w:val="en-US"/>
                <w14:textFill>
                  <w14:solidFill>
                    <w14:schemeClr w14:val="tx1"/>
                  </w14:solidFill>
                </w14:textFill>
              </w:rPr>
              <w:t>③</w:t>
            </w:r>
            <w:r>
              <w:rPr>
                <w:rFonts w:hint="eastAsia"/>
                <w:color w:val="000000" w:themeColor="text1"/>
                <w:szCs w:val="21"/>
                <w:lang w:val="en-US"/>
                <w14:textFill>
                  <w14:solidFill>
                    <w14:schemeClr w14:val="tx1"/>
                  </w14:solidFill>
                </w14:textFill>
              </w:rPr>
              <w:t>体现的主题知识内容有缺失，表达不够清晰的，得1-3分；</w:t>
            </w:r>
          </w:p>
          <w:p w14:paraId="461E0169">
            <w:pPr>
              <w:pStyle w:val="74"/>
              <w:spacing w:line="320" w:lineRule="exact"/>
              <w:rPr>
                <w:rFonts w:hint="eastAsia"/>
                <w:color w:val="000000" w:themeColor="text1"/>
                <w:szCs w:val="21"/>
                <w:lang w:val="en-US" w:bidi="ar-SA"/>
                <w14:textFill>
                  <w14:solidFill>
                    <w14:schemeClr w14:val="tx1"/>
                  </w14:solidFill>
                </w14:textFill>
              </w:rPr>
            </w:pPr>
            <w:r>
              <w:rPr>
                <w:rFonts w:hint="eastAsia"/>
                <w:color w:val="000000" w:themeColor="text1"/>
                <w:szCs w:val="21"/>
                <w:lang w:val="en-US"/>
                <w14:textFill>
                  <w14:solidFill>
                    <w14:schemeClr w14:val="tx1"/>
                  </w14:solidFill>
                </w14:textFill>
              </w:rPr>
              <w:t>④未包含以上内容，或提供的内容完全不符合项目需求的</w:t>
            </w:r>
            <w:r>
              <w:rPr>
                <w:rFonts w:hint="eastAsia"/>
                <w:color w:val="000000" w:themeColor="text1"/>
                <w:spacing w:val="2"/>
                <w:szCs w:val="21"/>
                <w:lang w:val="en-US"/>
                <w14:textFill>
                  <w14:solidFill>
                    <w14:schemeClr w14:val="tx1"/>
                  </w14:solidFill>
                </w14:textFill>
              </w:rPr>
              <w:t>不得分。</w:t>
            </w:r>
          </w:p>
        </w:tc>
      </w:tr>
      <w:tr w14:paraId="5B18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tcBorders>
              <w:left w:val="single" w:color="auto" w:sz="4" w:space="0"/>
              <w:right w:val="single" w:color="auto" w:sz="4" w:space="0"/>
            </w:tcBorders>
            <w:vAlign w:val="center"/>
          </w:tcPr>
          <w:p w14:paraId="25634634">
            <w:pPr>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价格分（30分）</w:t>
            </w:r>
          </w:p>
        </w:tc>
        <w:tc>
          <w:tcPr>
            <w:tcW w:w="4417" w:type="pct"/>
            <w:gridSpan w:val="2"/>
            <w:tcBorders>
              <w:top w:val="single" w:color="auto" w:sz="4" w:space="0"/>
              <w:left w:val="single" w:color="auto" w:sz="4" w:space="0"/>
              <w:bottom w:val="single" w:color="auto" w:sz="4" w:space="0"/>
              <w:right w:val="single" w:color="auto" w:sz="4" w:space="0"/>
            </w:tcBorders>
            <w:vAlign w:val="center"/>
          </w:tcPr>
          <w:p w14:paraId="6C890AA3">
            <w:pPr>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价格分统一采用低价优先法，即满足招标文件要求且投标价格最低的投标报价为评标基准价，其价格分为满分30分。其他投标人的价格分统一按照下列公式计算：</w:t>
            </w:r>
          </w:p>
          <w:p w14:paraId="6069EF92">
            <w:pPr>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投标报价得分＝（评标基准价/投标报价）×30％×100</w:t>
            </w:r>
          </w:p>
        </w:tc>
      </w:tr>
    </w:tbl>
    <w:p w14:paraId="5B719B18">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2.4.3分值汇总</w:t>
      </w:r>
    </w:p>
    <w:p w14:paraId="3057CE4C">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（1）评标委员会各成员应当独立对每个有效投标人的投标文件进行评分，并汇总每个投标人的得分。取各位评委评分之平均值，四舍五入保留至小数点后两位数，得到该投标人的技术资信分。</w:t>
      </w:r>
    </w:p>
    <w:p w14:paraId="339206A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（2）将投标人的技术资信分加上根据上述标准计算出的价格分，即为该投标人的综合总得分。</w:t>
      </w:r>
    </w:p>
    <w:p w14:paraId="04156A91">
      <w:pPr>
        <w:spacing w:line="360" w:lineRule="exact"/>
        <w:ind w:firstLine="437"/>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三、无效投标条款</w:t>
      </w:r>
    </w:p>
    <w:p w14:paraId="44A5FDDD">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3.1投标文件有下列情形的，其投标文件拒收：</w:t>
      </w:r>
    </w:p>
    <w:p w14:paraId="2F08E22D">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(1) 未在开标截止时间前递交有效投标文件的，投标将被拒绝。</w:t>
      </w:r>
    </w:p>
    <w:p w14:paraId="02D9987E">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3.2投标人有下列情形之一的，资格审查后其投标作无效投标处理：</w:t>
      </w:r>
    </w:p>
    <w:p w14:paraId="70BBB977">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(1)投标人为本项目提供采购代理服务的；</w:t>
      </w:r>
    </w:p>
    <w:p w14:paraId="6CC70410">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(2)投标人与在本项目代理机构存在相互任职或工作的；</w:t>
      </w:r>
    </w:p>
    <w:p w14:paraId="29F3D811">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(3)招标公告写明专门面向中小企业采购，投标人提供的货物非中小企业制造的；（本项目不采用）</w:t>
      </w:r>
    </w:p>
    <w:p w14:paraId="0AB4E091">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(4)要求投标人以联合体形式参加采购活动，投标人非联合体或者联合协议中中小企业合同金额未达到应当达到的比例；（本项目不采用）</w:t>
      </w:r>
    </w:p>
    <w:p w14:paraId="5817CCBA">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(5)要求获得采购合同的投标人向中小企业分包，投标人未提供分包意向协议或者分包意向协议中中小企业合同金额未达到应当达到的比例；（本项目不采用）</w:t>
      </w:r>
    </w:p>
    <w:p w14:paraId="2415E24D">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(6)评标专家无法查看并检验投标文件中相关资料的；</w:t>
      </w:r>
    </w:p>
    <w:p w14:paraId="76975892">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(7)联合体投标未提交联合体协议的；（本项目不采用）</w:t>
      </w:r>
    </w:p>
    <w:p w14:paraId="272DC68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(8)责令停产停业的；</w:t>
      </w:r>
    </w:p>
    <w:p w14:paraId="2225519B">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(9)暂停或者取消参与政府采购项目资格的；</w:t>
      </w:r>
    </w:p>
    <w:p w14:paraId="0CB85BC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(10)投标人单位负责人为同一人或者存在（直接）控股、管理关系的不同单位的；</w:t>
      </w:r>
    </w:p>
    <w:p w14:paraId="17A5010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(11)投标人基本资格条件和特定资格条件中有一项及以上不符合要求的；</w:t>
      </w:r>
    </w:p>
    <w:p w14:paraId="30249A45">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(12)其他情形，经评标委员会提出按无效投标处理的；</w:t>
      </w:r>
    </w:p>
    <w:p w14:paraId="073F1C2A">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(13)投标人单方面出现其他投标人材料的；</w:t>
      </w:r>
    </w:p>
    <w:p w14:paraId="1B283B98">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(14)招标文件规定的其他无效投标情形。</w:t>
      </w:r>
    </w:p>
    <w:p w14:paraId="718302DE">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3.3 投标人有下列情形之一的，符合性审查后其投标按无效投标处理：</w:t>
      </w:r>
    </w:p>
    <w:p w14:paraId="4A11F7E2">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(1)投标文件签字、盖章不全，经评标委员会一致认定对开评标内容有实质性影响的；</w:t>
      </w:r>
    </w:p>
    <w:p w14:paraId="2E5F6F0C">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(2)未按规定的格式填写导致实质性内容不全以及实质上不投标，或者关键字迹模糊、无法辨认的；</w:t>
      </w:r>
    </w:p>
    <w:p w14:paraId="1E33DFF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(3)同一投标人提交两个以上不同的投标文件或者投标报价，但招标文件规定提交备选方案的除外；</w:t>
      </w:r>
    </w:p>
    <w:p w14:paraId="472336C8">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(4)投标文件没有对招标文件的实质性要求和条件作出投标；</w:t>
      </w:r>
    </w:p>
    <w:p w14:paraId="2CF977C4">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(5)投标报价超出规定的投标限价或公布的采购预算的或投标人的投标报价各项单价高于招标文件给定的单价最高限价；</w:t>
      </w:r>
    </w:p>
    <w:p w14:paraId="79745D4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(6)不按评标委员会要求澄清、说明或补正的，或者评标委员会根据招标文件的规定对投标文件的计算错误进行修正后，投标人不接受修正的投标报价的。</w:t>
      </w:r>
    </w:p>
    <w:p w14:paraId="002AC2FD">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(7)其他情形，经评标委员会提出按无效投标处理的；</w:t>
      </w:r>
    </w:p>
    <w:p w14:paraId="038709E7">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(8)投标文件含有采购人不能接受的附加条件的；</w:t>
      </w:r>
    </w:p>
    <w:p w14:paraId="6E9399EA">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(9)招标文件规定的其他无效投标情形。</w:t>
      </w:r>
    </w:p>
    <w:p w14:paraId="2F849AA9">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3.4 投标人有下列情形之一的， 详细评审后其投标按无效投标处理：</w:t>
      </w:r>
    </w:p>
    <w:p w14:paraId="0D2E0144">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(1)投标产品不符合必须强制执行的国家标准的；</w:t>
      </w:r>
    </w:p>
    <w:p w14:paraId="38F34633">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(2)投标人有串通投标、弄虚作假、行贿等违法行为；</w:t>
      </w:r>
    </w:p>
    <w:p w14:paraId="67D8EAB7">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(3)投标文件含有违反国家法律法规的内容，或附有采购人不能接受的条件的；</w:t>
      </w:r>
    </w:p>
    <w:p w14:paraId="07B166AB">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(4)报价明显低于其他投标人，且不能证明报价合理性的投标无效；</w:t>
      </w:r>
    </w:p>
    <w:p w14:paraId="3BBC6F16">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(5)拒不确认评标委员会评审修正的投标无效；</w:t>
      </w:r>
    </w:p>
    <w:p w14:paraId="46FE64FA">
      <w:pPr>
        <w:spacing w:line="360" w:lineRule="exact"/>
        <w:ind w:firstLine="437"/>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(6)其他情形，经评标委员会提出按无效投标处理的；</w:t>
      </w:r>
    </w:p>
    <w:p w14:paraId="28749753">
      <w:pPr>
        <w:spacing w:line="360" w:lineRule="exact"/>
        <w:ind w:firstLine="437"/>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(7)招标文件规定的其他无效投标情形。</w:t>
      </w:r>
      <w:r>
        <w:rPr>
          <w:rFonts w:hint="eastAsia" w:ascii="宋体" w:hAnsi="宋体" w:eastAsia="宋体" w:cs="宋体"/>
          <w:color w:val="000000" w:themeColor="text1"/>
          <w:sz w:val="24"/>
          <w14:textFill>
            <w14:solidFill>
              <w14:schemeClr w14:val="tx1"/>
            </w14:solidFill>
          </w14:textFill>
        </w:rPr>
        <w:br w:type="page"/>
      </w:r>
    </w:p>
    <w:p w14:paraId="1BDE1017">
      <w:pPr>
        <w:spacing w:line="360" w:lineRule="auto"/>
        <w:jc w:val="center"/>
        <w:outlineLvl w:val="0"/>
        <w:rPr>
          <w:rFonts w:hint="eastAsia" w:ascii="宋体" w:hAnsi="宋体" w:eastAsia="宋体" w:cs="宋体"/>
          <w:b/>
          <w:color w:val="000000" w:themeColor="text1"/>
          <w:sz w:val="28"/>
          <w14:textFill>
            <w14:solidFill>
              <w14:schemeClr w14:val="tx1"/>
            </w14:solidFill>
          </w14:textFill>
        </w:rPr>
      </w:pPr>
      <w:bookmarkStart w:id="57" w:name="_Toc20405"/>
      <w:r>
        <w:rPr>
          <w:rFonts w:hint="eastAsia" w:ascii="宋体" w:hAnsi="宋体" w:eastAsia="宋体" w:cs="宋体"/>
          <w:b/>
          <w:color w:val="000000" w:themeColor="text1"/>
          <w:sz w:val="28"/>
          <w14:textFill>
            <w14:solidFill>
              <w14:schemeClr w14:val="tx1"/>
            </w14:solidFill>
          </w14:textFill>
        </w:rPr>
        <w:t>第五章  采购合同</w:t>
      </w:r>
      <w:bookmarkEnd w:id="57"/>
    </w:p>
    <w:p w14:paraId="311BFA07">
      <w:pPr>
        <w:spacing w:line="480" w:lineRule="auto"/>
        <w:jc w:val="center"/>
        <w:rPr>
          <w:rFonts w:hint="eastAsia" w:ascii="宋体" w:hAnsi="宋体" w:eastAsia="宋体" w:cs="宋体"/>
          <w:b/>
          <w:color w:val="000000" w:themeColor="text1"/>
          <w:sz w:val="28"/>
          <w:szCs w:val="28"/>
          <w14:textFill>
            <w14:solidFill>
              <w14:schemeClr w14:val="tx1"/>
            </w14:solidFill>
          </w14:textFill>
        </w:rPr>
      </w:pPr>
      <w:bookmarkStart w:id="58" w:name="_Toc331685784"/>
    </w:p>
    <w:p w14:paraId="1953B6D0">
      <w:pPr>
        <w:spacing w:line="480" w:lineRule="auto"/>
        <w:jc w:val="center"/>
        <w:rPr>
          <w:rFonts w:hint="eastAsia" w:ascii="宋体" w:hAnsi="宋体" w:eastAsia="宋体" w:cs="宋体"/>
          <w:b/>
          <w:color w:val="000000" w:themeColor="text1"/>
          <w:sz w:val="28"/>
          <w:szCs w:val="28"/>
          <w14:textFill>
            <w14:solidFill>
              <w14:schemeClr w14:val="tx1"/>
            </w14:solidFill>
          </w14:textFill>
        </w:rPr>
      </w:pPr>
    </w:p>
    <w:p w14:paraId="3B98FBFD">
      <w:pPr>
        <w:pStyle w:val="9"/>
        <w:rPr>
          <w:rFonts w:hint="eastAsia" w:ascii="宋体" w:hAnsi="宋体" w:eastAsia="宋体" w:cs="宋体"/>
          <w:color w:val="000000" w:themeColor="text1"/>
          <w14:textFill>
            <w14:solidFill>
              <w14:schemeClr w14:val="tx1"/>
            </w14:solidFill>
          </w14:textFill>
        </w:rPr>
      </w:pPr>
    </w:p>
    <w:p w14:paraId="7707FC1D">
      <w:pPr>
        <w:spacing w:line="480" w:lineRule="auto"/>
        <w:jc w:val="center"/>
        <w:outlineLvl w:val="1"/>
        <w:rPr>
          <w:rFonts w:hint="eastAsia" w:ascii="宋体" w:hAnsi="宋体" w:eastAsia="宋体" w:cs="宋体"/>
          <w:b/>
          <w:color w:val="000000" w:themeColor="text1"/>
          <w:sz w:val="28"/>
          <w:szCs w:val="28"/>
          <w14:textFill>
            <w14:solidFill>
              <w14:schemeClr w14:val="tx1"/>
            </w14:solidFill>
          </w14:textFill>
        </w:rPr>
      </w:pPr>
      <w:bookmarkStart w:id="59" w:name="_Toc3714"/>
      <w:r>
        <w:rPr>
          <w:rFonts w:hint="eastAsia" w:ascii="宋体" w:hAnsi="宋体" w:eastAsia="宋体" w:cs="宋体"/>
          <w:b/>
          <w:color w:val="000000" w:themeColor="text1"/>
          <w:sz w:val="28"/>
          <w:szCs w:val="28"/>
          <w14:textFill>
            <w14:solidFill>
              <w14:schemeClr w14:val="tx1"/>
            </w14:solidFill>
          </w14:textFill>
        </w:rPr>
        <w:t>采购合同参考范本</w:t>
      </w:r>
      <w:bookmarkEnd w:id="59"/>
    </w:p>
    <w:p w14:paraId="085FD143">
      <w:pPr>
        <w:spacing w:line="480" w:lineRule="auto"/>
        <w:jc w:val="center"/>
        <w:outlineLvl w:val="1"/>
        <w:rPr>
          <w:rFonts w:hint="eastAsia" w:ascii="宋体" w:hAnsi="宋体" w:eastAsia="宋体" w:cs="宋体"/>
          <w:b/>
          <w:color w:val="000000" w:themeColor="text1"/>
          <w:sz w:val="28"/>
          <w:szCs w:val="28"/>
          <w14:textFill>
            <w14:solidFill>
              <w14:schemeClr w14:val="tx1"/>
            </w14:solidFill>
          </w14:textFill>
        </w:rPr>
      </w:pPr>
      <w:bookmarkStart w:id="60" w:name="_Toc8560"/>
      <w:r>
        <w:rPr>
          <w:rFonts w:hint="eastAsia" w:ascii="宋体" w:hAnsi="宋体" w:eastAsia="宋体" w:cs="宋体"/>
          <w:b/>
          <w:color w:val="000000" w:themeColor="text1"/>
          <w:sz w:val="28"/>
          <w:szCs w:val="28"/>
          <w14:textFill>
            <w14:solidFill>
              <w14:schemeClr w14:val="tx1"/>
            </w14:solidFill>
          </w14:textFill>
        </w:rPr>
        <w:t>（服务类）</w:t>
      </w:r>
      <w:bookmarkEnd w:id="60"/>
    </w:p>
    <w:p w14:paraId="5EEB9A08">
      <w:pPr>
        <w:spacing w:line="480" w:lineRule="auto"/>
        <w:jc w:val="center"/>
        <w:rPr>
          <w:rFonts w:hint="eastAsia" w:ascii="宋体" w:hAnsi="宋体" w:eastAsia="宋体" w:cs="宋体"/>
          <w:b/>
          <w:color w:val="000000" w:themeColor="text1"/>
          <w:sz w:val="24"/>
          <w:szCs w:val="24"/>
          <w14:textFill>
            <w14:solidFill>
              <w14:schemeClr w14:val="tx1"/>
            </w14:solidFill>
          </w14:textFill>
        </w:rPr>
      </w:pPr>
    </w:p>
    <w:p w14:paraId="0F810292">
      <w:pPr>
        <w:spacing w:line="480" w:lineRule="auto"/>
        <w:jc w:val="center"/>
        <w:rPr>
          <w:rFonts w:hint="eastAsia" w:ascii="宋体" w:hAnsi="宋体" w:eastAsia="宋体" w:cs="宋体"/>
          <w:b/>
          <w:color w:val="000000" w:themeColor="text1"/>
          <w:sz w:val="24"/>
          <w:szCs w:val="24"/>
          <w14:textFill>
            <w14:solidFill>
              <w14:schemeClr w14:val="tx1"/>
            </w14:solidFill>
          </w14:textFill>
        </w:rPr>
      </w:pPr>
    </w:p>
    <w:p w14:paraId="634C5076">
      <w:pPr>
        <w:spacing w:line="480" w:lineRule="auto"/>
        <w:jc w:val="center"/>
        <w:rPr>
          <w:rFonts w:hint="eastAsia" w:ascii="宋体" w:hAnsi="宋体" w:eastAsia="宋体" w:cs="宋体"/>
          <w:b/>
          <w:color w:val="000000" w:themeColor="text1"/>
          <w:sz w:val="24"/>
          <w:szCs w:val="24"/>
          <w14:textFill>
            <w14:solidFill>
              <w14:schemeClr w14:val="tx1"/>
            </w14:solidFill>
          </w14:textFill>
        </w:rPr>
      </w:pPr>
    </w:p>
    <w:p w14:paraId="01B7AC44">
      <w:pPr>
        <w:spacing w:line="360" w:lineRule="auto"/>
        <w:jc w:val="center"/>
        <w:outlineLvl w:val="1"/>
        <w:rPr>
          <w:rFonts w:hint="eastAsia" w:ascii="宋体" w:hAnsi="宋体" w:eastAsia="宋体" w:cs="宋体"/>
          <w:b/>
          <w:color w:val="000000" w:themeColor="text1"/>
          <w:sz w:val="24"/>
          <w14:textFill>
            <w14:solidFill>
              <w14:schemeClr w14:val="tx1"/>
            </w14:solidFill>
          </w14:textFill>
        </w:rPr>
      </w:pPr>
      <w:bookmarkStart w:id="61" w:name="_Toc2449"/>
      <w:r>
        <w:rPr>
          <w:rFonts w:hint="eastAsia" w:ascii="宋体" w:hAnsi="宋体" w:eastAsia="宋体" w:cs="宋体"/>
          <w:b/>
          <w:color w:val="000000" w:themeColor="text1"/>
          <w:sz w:val="24"/>
          <w14:textFill>
            <w14:solidFill>
              <w14:schemeClr w14:val="tx1"/>
            </w14:solidFill>
          </w14:textFill>
        </w:rPr>
        <w:t>第一部分 合同书</w:t>
      </w:r>
      <w:bookmarkEnd w:id="61"/>
    </w:p>
    <w:p w14:paraId="7E5867AB">
      <w:pPr>
        <w:spacing w:line="480" w:lineRule="auto"/>
        <w:jc w:val="center"/>
        <w:rPr>
          <w:rFonts w:hint="eastAsia" w:ascii="宋体" w:hAnsi="宋体" w:eastAsia="宋体" w:cs="宋体"/>
          <w:b/>
          <w:color w:val="000000" w:themeColor="text1"/>
          <w:sz w:val="24"/>
          <w:szCs w:val="24"/>
          <w14:textFill>
            <w14:solidFill>
              <w14:schemeClr w14:val="tx1"/>
            </w14:solidFill>
          </w14:textFill>
        </w:rPr>
      </w:pPr>
    </w:p>
    <w:p w14:paraId="208E0974">
      <w:pPr>
        <w:spacing w:line="480" w:lineRule="auto"/>
        <w:jc w:val="center"/>
        <w:rPr>
          <w:rFonts w:hint="eastAsia" w:ascii="宋体" w:hAnsi="宋体" w:eastAsia="宋体" w:cs="宋体"/>
          <w:b/>
          <w:color w:val="000000" w:themeColor="text1"/>
          <w:sz w:val="24"/>
          <w:szCs w:val="24"/>
          <w14:textFill>
            <w14:solidFill>
              <w14:schemeClr w14:val="tx1"/>
            </w14:solidFill>
          </w14:textFill>
        </w:rPr>
      </w:pPr>
    </w:p>
    <w:p w14:paraId="040D7B24">
      <w:pPr>
        <w:pStyle w:val="9"/>
        <w:rPr>
          <w:rFonts w:hint="eastAsia" w:ascii="宋体" w:hAnsi="宋体" w:eastAsia="宋体" w:cs="宋体"/>
          <w:color w:val="000000" w:themeColor="text1"/>
          <w14:textFill>
            <w14:solidFill>
              <w14:schemeClr w14:val="tx1"/>
            </w14:solidFill>
          </w14:textFill>
        </w:rPr>
      </w:pPr>
    </w:p>
    <w:p w14:paraId="1439B8F2">
      <w:pPr>
        <w:pStyle w:val="9"/>
        <w:rPr>
          <w:rFonts w:hint="eastAsia" w:ascii="宋体" w:hAnsi="宋体" w:eastAsia="宋体" w:cs="宋体"/>
          <w:color w:val="000000" w:themeColor="text1"/>
          <w14:textFill>
            <w14:solidFill>
              <w14:schemeClr w14:val="tx1"/>
            </w14:solidFill>
          </w14:textFill>
        </w:rPr>
      </w:pPr>
    </w:p>
    <w:p w14:paraId="0578DD7B">
      <w:pPr>
        <w:spacing w:before="120" w:line="480" w:lineRule="auto"/>
        <w:ind w:left="960"/>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项目名称：</w:t>
      </w:r>
      <w:r>
        <w:rPr>
          <w:rFonts w:hint="eastAsia" w:ascii="宋体" w:hAnsi="宋体" w:eastAsia="宋体" w:cs="宋体"/>
          <w:color w:val="000000" w:themeColor="text1"/>
          <w:sz w:val="24"/>
          <w:szCs w:val="24"/>
          <w:u w:val="single"/>
          <w14:textFill>
            <w14:solidFill>
              <w14:schemeClr w14:val="tx1"/>
            </w14:solidFill>
          </w14:textFill>
        </w:rPr>
        <w:t>健康素养66条科普视频（AI场景式健康科普连续剧）项目</w:t>
      </w:r>
    </w:p>
    <w:p w14:paraId="08D568B1">
      <w:pPr>
        <w:spacing w:before="120" w:line="480" w:lineRule="auto"/>
        <w:ind w:left="96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项目编号：</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7E1DF9D5">
      <w:pPr>
        <w:spacing w:before="120" w:line="480" w:lineRule="auto"/>
        <w:ind w:left="960"/>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甲方（采购人）：</w:t>
      </w:r>
      <w:r>
        <w:rPr>
          <w:rFonts w:hint="eastAsia" w:ascii="宋体" w:hAnsi="宋体" w:eastAsia="宋体" w:cs="宋体"/>
          <w:color w:val="000000" w:themeColor="text1"/>
          <w:sz w:val="24"/>
          <w:szCs w:val="24"/>
          <w:u w:val="single"/>
          <w14:textFill>
            <w14:solidFill>
              <w14:schemeClr w14:val="tx1"/>
            </w14:solidFill>
          </w14:textFill>
        </w:rPr>
        <w:t>滁州市疾病预防控制中心</w:t>
      </w:r>
    </w:p>
    <w:p w14:paraId="5F064EAC">
      <w:pPr>
        <w:spacing w:before="120" w:line="480" w:lineRule="auto"/>
        <w:ind w:left="960"/>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乙方（中标人）：</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00504B6">
      <w:pPr>
        <w:spacing w:before="120" w:line="480" w:lineRule="auto"/>
        <w:ind w:firstLine="960" w:firstLineChars="400"/>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签订地：</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2B9286FF">
      <w:pPr>
        <w:spacing w:before="120" w:line="480" w:lineRule="auto"/>
        <w:ind w:firstLine="960" w:firstLineChars="4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签订日期：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p>
    <w:p w14:paraId="2F51A60D">
      <w:pPr>
        <w:widowControl/>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6A5C0A26">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健康素养66条科普视频（AI场景式健康科普连续剧）项目</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zh-CN"/>
          <w14:textFill>
            <w14:solidFill>
              <w14:schemeClr w14:val="tx1"/>
            </w14:solidFill>
          </w14:textFill>
        </w:rPr>
        <w:t>以下简称：甲方</w:t>
      </w:r>
      <w:r>
        <w:rPr>
          <w:rFonts w:hint="eastAsia" w:ascii="宋体" w:hAnsi="宋体" w:eastAsia="宋体" w:cs="宋体"/>
          <w:color w:val="000000" w:themeColor="text1"/>
          <w:szCs w:val="21"/>
          <w14:textFill>
            <w14:solidFill>
              <w14:schemeClr w14:val="tx1"/>
            </w14:solidFill>
          </w14:textFill>
        </w:rPr>
        <w:t>）通过</w:t>
      </w:r>
      <w:r>
        <w:rPr>
          <w:rFonts w:hint="eastAsia" w:ascii="宋体" w:hAnsi="宋体" w:eastAsia="宋体" w:cs="宋体"/>
          <w:color w:val="000000" w:themeColor="text1"/>
          <w:szCs w:val="21"/>
          <w:u w:val="single"/>
          <w14:textFill>
            <w14:solidFill>
              <w14:schemeClr w14:val="tx1"/>
            </w14:solidFill>
          </w14:textFill>
        </w:rPr>
        <w:t>安徽玖恒项目管理有限公司</w:t>
      </w:r>
      <w:r>
        <w:rPr>
          <w:rFonts w:hint="eastAsia" w:ascii="宋体" w:hAnsi="宋体" w:eastAsia="宋体" w:cs="宋体"/>
          <w:color w:val="000000" w:themeColor="text1"/>
          <w:szCs w:val="21"/>
          <w14:textFill>
            <w14:solidFill>
              <w14:schemeClr w14:val="tx1"/>
            </w14:solidFill>
          </w14:textFill>
        </w:rPr>
        <w:t>组织的</w:t>
      </w:r>
      <w:r>
        <w:rPr>
          <w:rFonts w:hint="eastAsia" w:ascii="宋体" w:hAnsi="宋体" w:eastAsia="宋体" w:cs="宋体"/>
          <w:color w:val="000000" w:themeColor="text1"/>
          <w:szCs w:val="21"/>
          <w:u w:val="single"/>
          <w14:textFill>
            <w14:solidFill>
              <w14:schemeClr w14:val="tx1"/>
            </w14:solidFill>
          </w14:textFill>
        </w:rPr>
        <w:t>公开招标</w:t>
      </w:r>
      <w:r>
        <w:rPr>
          <w:rFonts w:hint="eastAsia" w:ascii="宋体" w:hAnsi="宋体" w:eastAsia="宋体" w:cs="宋体"/>
          <w:color w:val="000000" w:themeColor="text1"/>
          <w:szCs w:val="21"/>
          <w14:textFill>
            <w14:solidFill>
              <w14:schemeClr w14:val="tx1"/>
            </w14:solidFill>
          </w14:textFill>
        </w:rPr>
        <w:t>方式采购活动，经</w:t>
      </w:r>
      <w:r>
        <w:rPr>
          <w:rFonts w:hint="eastAsia" w:ascii="宋体" w:hAnsi="宋体" w:eastAsia="宋体" w:cs="宋体"/>
          <w:color w:val="000000" w:themeColor="text1"/>
          <w:szCs w:val="21"/>
          <w:u w:val="single"/>
          <w14:textFill>
            <w14:solidFill>
              <w14:schemeClr w14:val="tx1"/>
            </w14:solidFill>
          </w14:textFill>
        </w:rPr>
        <w:t>评标委员会</w:t>
      </w:r>
      <w:r>
        <w:rPr>
          <w:rFonts w:hint="eastAsia" w:ascii="宋体" w:hAnsi="宋体" w:eastAsia="宋体" w:cs="宋体"/>
          <w:color w:val="000000" w:themeColor="text1"/>
          <w:szCs w:val="21"/>
          <w14:textFill>
            <w14:solidFill>
              <w14:schemeClr w14:val="tx1"/>
            </w14:solidFill>
          </w14:textFill>
        </w:rPr>
        <w:t>评定，</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zh-CN"/>
          <w14:textFill>
            <w14:solidFill>
              <w14:schemeClr w14:val="tx1"/>
            </w14:solidFill>
          </w14:textFill>
        </w:rPr>
        <w:t>以下简称：乙方</w:t>
      </w:r>
      <w:r>
        <w:rPr>
          <w:rFonts w:hint="eastAsia" w:ascii="宋体" w:hAnsi="宋体" w:eastAsia="宋体" w:cs="宋体"/>
          <w:color w:val="000000" w:themeColor="text1"/>
          <w:szCs w:val="21"/>
          <w14:textFill>
            <w14:solidFill>
              <w14:schemeClr w14:val="tx1"/>
            </w14:solidFill>
          </w14:textFill>
        </w:rPr>
        <w:t>）为本项目中标人，现按照采购文件确定的事项签订本合同。</w:t>
      </w:r>
    </w:p>
    <w:p w14:paraId="67FE544E">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根据《中华人民共和国民法典》《中华人民共和国政府采购法》等相关法律法规之规定，按照平等、自愿、公平和诚实信用的原则，经甲方和乙方协商一致，约定以下合同条款，以兹共同遵守、全面履行。</w:t>
      </w:r>
    </w:p>
    <w:p w14:paraId="22F521E2">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62" w:name="_Toc2232"/>
      <w:bookmarkStart w:id="63" w:name="_Toc3029"/>
      <w:bookmarkStart w:id="64" w:name="_Toc24059"/>
      <w:r>
        <w:rPr>
          <w:rFonts w:hint="eastAsia" w:ascii="宋体" w:hAnsi="宋体" w:eastAsia="宋体" w:cs="宋体"/>
          <w:b/>
          <w:bCs/>
          <w:color w:val="000000" w:themeColor="text1"/>
          <w:szCs w:val="21"/>
          <w:lang w:val="zh-CN"/>
          <w14:textFill>
            <w14:solidFill>
              <w14:schemeClr w14:val="tx1"/>
            </w14:solidFill>
          </w14:textFill>
        </w:rPr>
        <w:t>1.1 合同组成部分</w:t>
      </w:r>
      <w:bookmarkEnd w:id="62"/>
      <w:bookmarkEnd w:id="63"/>
      <w:bookmarkEnd w:id="64"/>
    </w:p>
    <w:p w14:paraId="3121A402">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729DB073">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1.1.1本合同及其补充合同、变更协议；</w:t>
      </w:r>
    </w:p>
    <w:p w14:paraId="26870FCF">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1.1.2中标通知书；</w:t>
      </w:r>
    </w:p>
    <w:p w14:paraId="26763E8F">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1.1.3投标文件（含澄清或者说明文件）；</w:t>
      </w:r>
    </w:p>
    <w:p w14:paraId="214ABCEE">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1.1.4招标文件（含澄清或者修改文件）；</w:t>
      </w:r>
    </w:p>
    <w:p w14:paraId="4B3ECD27">
      <w:pPr>
        <w:spacing w:line="400" w:lineRule="exact"/>
        <w:ind w:firstLine="435"/>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1.1.5其他相关采购文件。</w:t>
      </w:r>
    </w:p>
    <w:p w14:paraId="43513114">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65" w:name="_Toc6311"/>
      <w:bookmarkStart w:id="66" w:name="_Toc6773"/>
      <w:bookmarkStart w:id="67" w:name="_Toc22185"/>
      <w:bookmarkStart w:id="68" w:name="_Toc18585"/>
      <w:bookmarkStart w:id="69" w:name="_Toc2918"/>
      <w:r>
        <w:rPr>
          <w:rFonts w:hint="eastAsia" w:ascii="宋体" w:hAnsi="宋体" w:eastAsia="宋体" w:cs="宋体"/>
          <w:b/>
          <w:bCs/>
          <w:color w:val="000000" w:themeColor="text1"/>
          <w:szCs w:val="21"/>
          <w:lang w:val="zh-CN"/>
          <w14:textFill>
            <w14:solidFill>
              <w14:schemeClr w14:val="tx1"/>
            </w14:solidFill>
          </w14:textFill>
        </w:rPr>
        <w:t xml:space="preserve">1.2 </w:t>
      </w:r>
      <w:bookmarkEnd w:id="65"/>
      <w:bookmarkEnd w:id="66"/>
      <w:bookmarkEnd w:id="67"/>
      <w:bookmarkEnd w:id="68"/>
      <w:bookmarkEnd w:id="69"/>
      <w:r>
        <w:rPr>
          <w:rFonts w:hint="eastAsia" w:ascii="宋体" w:hAnsi="宋体" w:eastAsia="宋体" w:cs="宋体"/>
          <w:b/>
          <w:bCs/>
          <w:color w:val="000000" w:themeColor="text1"/>
          <w:szCs w:val="21"/>
          <w:lang w:val="zh-CN"/>
          <w14:textFill>
            <w14:solidFill>
              <w14:schemeClr w14:val="tx1"/>
            </w14:solidFill>
          </w14:textFill>
        </w:rPr>
        <w:t>服务</w:t>
      </w:r>
    </w:p>
    <w:p w14:paraId="1CD492ED">
      <w:pPr>
        <w:spacing w:line="400" w:lineRule="exact"/>
        <w:ind w:firstLine="435"/>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1.2.1服务名称：</w:t>
      </w:r>
      <w:r>
        <w:rPr>
          <w:rFonts w:hint="eastAsia" w:ascii="宋体" w:hAnsi="宋体" w:eastAsia="宋体" w:cs="宋体"/>
          <w:color w:val="000000" w:themeColor="text1"/>
          <w:szCs w:val="21"/>
          <w:u w:val="single"/>
          <w14:textFill>
            <w14:solidFill>
              <w14:schemeClr w14:val="tx1"/>
            </w14:solidFill>
          </w14:textFill>
        </w:rPr>
        <w:t>健康素养66条科普视频（AI场景式健康科普连续剧）项目</w:t>
      </w:r>
      <w:r>
        <w:rPr>
          <w:rFonts w:hint="eastAsia" w:ascii="宋体" w:hAnsi="宋体" w:eastAsia="宋体" w:cs="宋体"/>
          <w:color w:val="000000" w:themeColor="text1"/>
          <w:szCs w:val="21"/>
          <w14:textFill>
            <w14:solidFill>
              <w14:schemeClr w14:val="tx1"/>
            </w14:solidFill>
          </w14:textFill>
        </w:rPr>
        <w:t>；</w:t>
      </w:r>
    </w:p>
    <w:p w14:paraId="22154C97">
      <w:pPr>
        <w:spacing w:line="400" w:lineRule="exact"/>
        <w:ind w:firstLine="435"/>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1.2.2服务内容：</w:t>
      </w:r>
      <w:r>
        <w:rPr>
          <w:rFonts w:hint="eastAsia" w:ascii="宋体" w:hAnsi="宋体" w:eastAsia="宋体" w:cs="宋体"/>
          <w:color w:val="000000" w:themeColor="text1"/>
          <w:szCs w:val="21"/>
          <w:u w:val="single"/>
          <w14:textFill>
            <w14:solidFill>
              <w14:schemeClr w14:val="tx1"/>
            </w14:solidFill>
          </w14:textFill>
        </w:rPr>
        <w:t xml:space="preserve">                               </w:t>
      </w:r>
    </w:p>
    <w:p w14:paraId="26280311">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1.2.3服务质量：</w:t>
      </w:r>
      <w:r>
        <w:rPr>
          <w:rFonts w:hint="eastAsia" w:ascii="宋体" w:hAnsi="宋体" w:eastAsia="宋体" w:cs="宋体"/>
          <w:color w:val="000000" w:themeColor="text1"/>
          <w:szCs w:val="21"/>
          <w:u w:val="single"/>
          <w14:textFill>
            <w14:solidFill>
              <w14:schemeClr w14:val="tx1"/>
            </w14:solidFill>
          </w14:textFill>
        </w:rPr>
        <w:t xml:space="preserve">招标文件第三章采购需求全部内容 </w:t>
      </w:r>
      <w:r>
        <w:rPr>
          <w:rFonts w:hint="eastAsia" w:ascii="宋体" w:hAnsi="宋体" w:eastAsia="宋体" w:cs="宋体"/>
          <w:color w:val="000000" w:themeColor="text1"/>
          <w:szCs w:val="21"/>
          <w14:textFill>
            <w14:solidFill>
              <w14:schemeClr w14:val="tx1"/>
            </w14:solidFill>
          </w14:textFill>
        </w:rPr>
        <w:t>。</w:t>
      </w:r>
    </w:p>
    <w:p w14:paraId="680A5E38">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70" w:name="_Toc23292"/>
      <w:bookmarkStart w:id="71" w:name="_Toc21631"/>
      <w:bookmarkStart w:id="72" w:name="_Toc21551"/>
      <w:r>
        <w:rPr>
          <w:rFonts w:hint="eastAsia" w:ascii="宋体" w:hAnsi="宋体" w:eastAsia="宋体" w:cs="宋体"/>
          <w:b/>
          <w:bCs/>
          <w:color w:val="000000" w:themeColor="text1"/>
          <w:szCs w:val="21"/>
          <w:lang w:val="zh-CN"/>
          <w14:textFill>
            <w14:solidFill>
              <w14:schemeClr w14:val="tx1"/>
            </w14:solidFill>
          </w14:textFill>
        </w:rPr>
        <w:t>1.3 价款</w:t>
      </w:r>
      <w:bookmarkEnd w:id="70"/>
      <w:bookmarkEnd w:id="71"/>
      <w:bookmarkEnd w:id="72"/>
    </w:p>
    <w:p w14:paraId="70CD6946">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本合同总价为：￥</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元（大写：人民币</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元）。</w:t>
      </w:r>
    </w:p>
    <w:p w14:paraId="134CA7F4">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73" w:name="_Toc1814"/>
      <w:bookmarkStart w:id="74" w:name="_Toc10340"/>
      <w:bookmarkStart w:id="75" w:name="_Toc22618"/>
      <w:r>
        <w:rPr>
          <w:rFonts w:hint="eastAsia" w:ascii="宋体" w:hAnsi="宋体" w:eastAsia="宋体" w:cs="宋体"/>
          <w:b/>
          <w:bCs/>
          <w:color w:val="000000" w:themeColor="text1"/>
          <w:szCs w:val="21"/>
          <w:lang w:val="zh-CN"/>
          <w14:textFill>
            <w14:solidFill>
              <w14:schemeClr w14:val="tx1"/>
            </w14:solidFill>
          </w14:textFill>
        </w:rPr>
        <w:t>1.4 付款方式和发票开具方式</w:t>
      </w:r>
      <w:bookmarkEnd w:id="73"/>
      <w:bookmarkEnd w:id="74"/>
      <w:bookmarkEnd w:id="75"/>
    </w:p>
    <w:p w14:paraId="7ED4097D">
      <w:pPr>
        <w:spacing w:line="400" w:lineRule="exact"/>
        <w:ind w:firstLine="435"/>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1.4.1付款方式：</w:t>
      </w:r>
      <w:r>
        <w:rPr>
          <w:rFonts w:hint="eastAsia" w:hAnsi="宋体" w:eastAsia="宋体" w:cs="宋体"/>
          <w:color w:val="000000" w:themeColor="text1"/>
          <w:szCs w:val="21"/>
          <w:u w:val="single"/>
          <w14:textFill>
            <w14:solidFill>
              <w14:schemeClr w14:val="tx1"/>
            </w14:solidFill>
          </w14:textFill>
        </w:rPr>
        <w:t>合同生效且甲方书面确认项目进度达50%合格后，支付合同总价的50%；项目最终验收合格后，付清剩余50%尾款。</w:t>
      </w:r>
    </w:p>
    <w:p w14:paraId="277CF60D">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1.4.2发票开具方式：</w:t>
      </w:r>
      <w:r>
        <w:rPr>
          <w:rFonts w:hint="eastAsia" w:ascii="宋体" w:hAnsi="宋体" w:eastAsia="宋体" w:cs="宋体"/>
          <w:color w:val="000000" w:themeColor="text1"/>
          <w:szCs w:val="21"/>
          <w:u w:val="single"/>
          <w14:textFill>
            <w14:solidFill>
              <w14:schemeClr w14:val="tx1"/>
            </w14:solidFill>
          </w14:textFill>
        </w:rPr>
        <w:t>开具符合要求的发票</w:t>
      </w:r>
      <w:r>
        <w:rPr>
          <w:rFonts w:hint="eastAsia" w:ascii="宋体" w:hAnsi="宋体" w:eastAsia="宋体" w:cs="宋体"/>
          <w:color w:val="000000" w:themeColor="text1"/>
          <w:szCs w:val="21"/>
          <w14:textFill>
            <w14:solidFill>
              <w14:schemeClr w14:val="tx1"/>
            </w14:solidFill>
          </w14:textFill>
        </w:rPr>
        <w:t>。</w:t>
      </w:r>
    </w:p>
    <w:p w14:paraId="7FF80B17">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76" w:name="_Toc19304"/>
      <w:bookmarkStart w:id="77" w:name="_Toc32071"/>
      <w:bookmarkStart w:id="78" w:name="_Toc2846"/>
      <w:r>
        <w:rPr>
          <w:rFonts w:hint="eastAsia" w:ascii="宋体" w:hAnsi="宋体" w:eastAsia="宋体" w:cs="宋体"/>
          <w:b/>
          <w:bCs/>
          <w:color w:val="000000" w:themeColor="text1"/>
          <w:szCs w:val="21"/>
          <w:lang w:val="zh-CN"/>
          <w14:textFill>
            <w14:solidFill>
              <w14:schemeClr w14:val="tx1"/>
            </w14:solidFill>
          </w14:textFill>
        </w:rPr>
        <w:t>1.5 服务期限、地点和方式</w:t>
      </w:r>
      <w:bookmarkEnd w:id="76"/>
      <w:bookmarkEnd w:id="77"/>
      <w:bookmarkEnd w:id="78"/>
    </w:p>
    <w:p w14:paraId="69CE5E4D">
      <w:pPr>
        <w:spacing w:line="400" w:lineRule="exact"/>
        <w:ind w:firstLine="435"/>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1.5.1服务期限：</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2D048E02">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1.5.2服务地点：</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22C8BAFF">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1.5.3服务方式：</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09BA7B11">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79" w:name="_Toc21423"/>
      <w:bookmarkStart w:id="80" w:name="_Toc19554"/>
      <w:bookmarkStart w:id="81" w:name="_Toc27250"/>
      <w:r>
        <w:rPr>
          <w:rFonts w:hint="eastAsia" w:ascii="宋体" w:hAnsi="宋体" w:eastAsia="宋体" w:cs="宋体"/>
          <w:b/>
          <w:bCs/>
          <w:color w:val="000000" w:themeColor="text1"/>
          <w:szCs w:val="21"/>
          <w:lang w:val="zh-CN"/>
          <w14:textFill>
            <w14:solidFill>
              <w14:schemeClr w14:val="tx1"/>
            </w14:solidFill>
          </w14:textFill>
        </w:rPr>
        <w:t>1.6 违约责任</w:t>
      </w:r>
      <w:bookmarkEnd w:id="79"/>
      <w:bookmarkEnd w:id="80"/>
      <w:bookmarkEnd w:id="81"/>
    </w:p>
    <w:p w14:paraId="520FF804">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000000" w:themeColor="text1"/>
          <w:szCs w:val="21"/>
          <w:u w:val="single"/>
          <w14:textFill>
            <w14:solidFill>
              <w14:schemeClr w14:val="tx1"/>
            </w14:solidFill>
          </w14:textFill>
        </w:rPr>
        <w:t xml:space="preserve">0.5 </w:t>
      </w:r>
      <w:r>
        <w:rPr>
          <w:rFonts w:hint="eastAsia" w:ascii="宋体" w:hAnsi="宋体" w:eastAsia="宋体" w:cs="宋体"/>
          <w:color w:val="000000" w:themeColor="text1"/>
          <w:szCs w:val="21"/>
          <w14:textFill>
            <w14:solidFill>
              <w14:schemeClr w14:val="tx1"/>
            </w14:solidFill>
          </w14:textFill>
        </w:rPr>
        <w:t>%计算，最高限额为本合同总价的</w:t>
      </w:r>
      <w:r>
        <w:rPr>
          <w:rFonts w:hint="eastAsia" w:ascii="宋体" w:hAnsi="宋体" w:eastAsia="宋体" w:cs="宋体"/>
          <w:color w:val="000000" w:themeColor="text1"/>
          <w:szCs w:val="21"/>
          <w:u w:val="single"/>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%；迟延履行的违约金计算数额达到前述最高限额之日起，甲方有权在要求乙方支付违约金的同时，书面通知乙方解除本合同；</w:t>
      </w:r>
    </w:p>
    <w:p w14:paraId="49AA9E2C">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000000" w:themeColor="text1"/>
          <w:szCs w:val="21"/>
          <w:u w:val="single"/>
          <w14:textFill>
            <w14:solidFill>
              <w14:schemeClr w14:val="tx1"/>
            </w14:solidFill>
          </w14:textFill>
        </w:rPr>
        <w:t>0.5</w:t>
      </w:r>
      <w:r>
        <w:rPr>
          <w:rFonts w:hint="eastAsia" w:ascii="宋体" w:hAnsi="宋体" w:eastAsia="宋体" w:cs="宋体"/>
          <w:color w:val="000000" w:themeColor="text1"/>
          <w:szCs w:val="21"/>
          <w14:textFill>
            <w14:solidFill>
              <w14:schemeClr w14:val="tx1"/>
            </w14:solidFill>
          </w14:textFill>
        </w:rPr>
        <w:t>%计算，最高限额为本合同总价的</w:t>
      </w:r>
      <w:r>
        <w:rPr>
          <w:rFonts w:hint="eastAsia" w:ascii="宋体" w:hAnsi="宋体" w:eastAsia="宋体" w:cs="宋体"/>
          <w:color w:val="000000" w:themeColor="text1"/>
          <w:szCs w:val="21"/>
          <w:u w:val="single"/>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%；迟延付款的违约金计算数额达到前述最高限额之日起，乙方有权在要求甲方支付违约金的同时，书面通知甲方解除本合同；</w:t>
      </w:r>
    </w:p>
    <w:p w14:paraId="3182ED54">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6D78636">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5447F2A">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FCF34E9">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1.6.6如果出现政府采购监督管理部门在处理投诉事项期间，书面通知甲方暂停采购活动的情形，或者询问或质疑事项可能影响中标结果的，导致甲方中止履行合同的情形，均不视为甲方违约。</w:t>
      </w:r>
    </w:p>
    <w:p w14:paraId="4B2DD9DC">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1.6.7因甲方未按合同约定支付价款、未按合同约定受领标的物、擅自解除合同、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390BB9A5">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82" w:name="_Toc28375"/>
      <w:bookmarkStart w:id="83" w:name="_Toc16021"/>
      <w:bookmarkStart w:id="84" w:name="_Toc15583"/>
      <w:r>
        <w:rPr>
          <w:rFonts w:hint="eastAsia" w:ascii="宋体" w:hAnsi="宋体" w:eastAsia="宋体" w:cs="宋体"/>
          <w:b/>
          <w:bCs/>
          <w:color w:val="000000" w:themeColor="text1"/>
          <w:szCs w:val="21"/>
          <w:lang w:val="zh-CN"/>
          <w14:textFill>
            <w14:solidFill>
              <w14:schemeClr w14:val="tx1"/>
            </w14:solidFill>
          </w14:textFill>
        </w:rPr>
        <w:t>1.7 合同争议的解决</w:t>
      </w:r>
      <w:bookmarkEnd w:id="82"/>
      <w:bookmarkEnd w:id="83"/>
      <w:bookmarkEnd w:id="84"/>
    </w:p>
    <w:p w14:paraId="11DDB7ED">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本合同履行过程中发生的任何争议，双方当事人均可通过和解或者调解解决；不愿和解、调解或者和解、调解不成的，可以选择下列第</w:t>
      </w:r>
      <w:r>
        <w:rPr>
          <w:rFonts w:hint="eastAsia" w:ascii="宋体" w:hAnsi="宋体" w:eastAsia="宋体" w:cs="宋体"/>
          <w:color w:val="000000" w:themeColor="text1"/>
          <w:szCs w:val="21"/>
          <w:u w:val="single"/>
          <w14:textFill>
            <w14:solidFill>
              <w14:schemeClr w14:val="tx1"/>
            </w14:solidFill>
          </w14:textFill>
        </w:rPr>
        <w:t xml:space="preserve"> 2 </w:t>
      </w:r>
      <w:r>
        <w:rPr>
          <w:rFonts w:hint="eastAsia" w:ascii="宋体" w:hAnsi="宋体" w:eastAsia="宋体" w:cs="宋体"/>
          <w:color w:val="000000" w:themeColor="text1"/>
          <w:szCs w:val="21"/>
          <w14:textFill>
            <w14:solidFill>
              <w14:schemeClr w14:val="tx1"/>
            </w14:solidFill>
          </w14:textFill>
        </w:rPr>
        <w:t>种方式解决：</w:t>
      </w:r>
    </w:p>
    <w:p w14:paraId="01E5AF6E">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1.7.1将争议提交</w:t>
      </w:r>
      <w:r>
        <w:rPr>
          <w:rFonts w:hint="eastAsia" w:ascii="宋体" w:hAnsi="宋体" w:eastAsia="宋体" w:cs="宋体"/>
          <w:color w:val="000000" w:themeColor="text1"/>
          <w:szCs w:val="21"/>
          <w:u w:val="single"/>
          <w14:textFill>
            <w14:solidFill>
              <w14:schemeClr w14:val="tx1"/>
            </w14:solidFill>
          </w14:textFill>
        </w:rPr>
        <w:t>滁州</w:t>
      </w:r>
      <w:r>
        <w:rPr>
          <w:rFonts w:hint="eastAsia" w:ascii="宋体" w:hAnsi="宋体" w:eastAsia="宋体" w:cs="宋体"/>
          <w:color w:val="000000" w:themeColor="text1"/>
          <w:szCs w:val="21"/>
          <w14:textFill>
            <w14:solidFill>
              <w14:schemeClr w14:val="tx1"/>
            </w14:solidFill>
          </w14:textFill>
        </w:rPr>
        <w:t>仲裁委员会依申请仲裁时其现行有效的仲裁规则裁决；</w:t>
      </w:r>
    </w:p>
    <w:p w14:paraId="6387C881">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1.7.2向</w:t>
      </w:r>
      <w:r>
        <w:rPr>
          <w:rFonts w:hint="eastAsia" w:ascii="宋体" w:hAnsi="宋体" w:eastAsia="宋体" w:cs="宋体"/>
          <w:color w:val="000000" w:themeColor="text1"/>
          <w:szCs w:val="21"/>
          <w:u w:val="single"/>
          <w14:textFill>
            <w14:solidFill>
              <w14:schemeClr w14:val="tx1"/>
            </w14:solidFill>
          </w14:textFill>
        </w:rPr>
        <w:t>项目所在地</w:t>
      </w:r>
      <w:r>
        <w:rPr>
          <w:rFonts w:hint="eastAsia" w:ascii="宋体" w:hAnsi="宋体" w:eastAsia="宋体" w:cs="宋体"/>
          <w:color w:val="000000" w:themeColor="text1"/>
          <w:szCs w:val="21"/>
          <w14:textFill>
            <w14:solidFill>
              <w14:schemeClr w14:val="tx1"/>
            </w14:solidFill>
          </w14:textFill>
        </w:rPr>
        <w:t>人民法院起诉。</w:t>
      </w:r>
    </w:p>
    <w:p w14:paraId="6B23E9E2">
      <w:pPr>
        <w:spacing w:line="40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85" w:name="_Toc15322"/>
      <w:bookmarkStart w:id="86" w:name="_Toc11173"/>
      <w:bookmarkStart w:id="87" w:name="_Toc7245"/>
      <w:r>
        <w:rPr>
          <w:rFonts w:hint="eastAsia" w:ascii="宋体" w:hAnsi="宋体" w:eastAsia="宋体" w:cs="宋体"/>
          <w:b/>
          <w:bCs/>
          <w:color w:val="000000" w:themeColor="text1"/>
          <w:szCs w:val="21"/>
          <w:lang w:val="zh-CN"/>
          <w14:textFill>
            <w14:solidFill>
              <w14:schemeClr w14:val="tx1"/>
            </w14:solidFill>
          </w14:textFill>
        </w:rPr>
        <w:t>1.8 合同生效</w:t>
      </w:r>
      <w:bookmarkEnd w:id="85"/>
      <w:bookmarkEnd w:id="86"/>
      <w:bookmarkEnd w:id="87"/>
    </w:p>
    <w:p w14:paraId="5BD07EF5">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本合同自双方当事人盖章时生效。</w:t>
      </w:r>
    </w:p>
    <w:p w14:paraId="68A36095">
      <w:pPr>
        <w:pStyle w:val="27"/>
        <w:rPr>
          <w:rFonts w:hint="eastAsia" w:ascii="宋体" w:hAnsi="宋体" w:eastAsia="宋体" w:cs="宋体"/>
          <w:color w:val="000000" w:themeColor="text1"/>
          <w:lang w:val="zh-CN"/>
          <w14:textFill>
            <w14:solidFill>
              <w14:schemeClr w14:val="tx1"/>
            </w14:solidFill>
          </w14:textFill>
        </w:rPr>
      </w:pPr>
    </w:p>
    <w:p w14:paraId="5EBD1D54">
      <w:pPr>
        <w:autoSpaceDE w:val="0"/>
        <w:autoSpaceDN w:val="0"/>
        <w:adjustRightInd w:val="0"/>
        <w:spacing w:line="400" w:lineRule="exact"/>
        <w:rPr>
          <w:rFonts w:hint="eastAsia" w:ascii="宋体" w:hAnsi="宋体" w:eastAsia="宋体" w:cs="宋体"/>
          <w:bCs/>
          <w:color w:val="000000" w:themeColor="text1"/>
          <w:szCs w:val="21"/>
          <w:lang w:val="zh-CN"/>
          <w14:textFill>
            <w14:solidFill>
              <w14:schemeClr w14:val="tx1"/>
            </w14:solidFill>
          </w14:textFill>
        </w:rPr>
      </w:pPr>
      <w:r>
        <w:rPr>
          <w:rFonts w:hint="eastAsia" w:ascii="宋体" w:hAnsi="宋体" w:eastAsia="宋体" w:cs="宋体"/>
          <w:bCs/>
          <w:color w:val="000000" w:themeColor="text1"/>
          <w:szCs w:val="21"/>
          <w:lang w:val="zh-CN"/>
          <w14:textFill>
            <w14:solidFill>
              <w14:schemeClr w14:val="tx1"/>
            </w14:solidFill>
          </w14:textFill>
        </w:rPr>
        <w:t>甲    方：</w:t>
      </w:r>
      <w:r>
        <w:rPr>
          <w:rFonts w:hint="eastAsia" w:ascii="宋体" w:hAnsi="宋体" w:eastAsia="宋体" w:cs="宋体"/>
          <w:bCs/>
          <w:color w:val="000000" w:themeColor="text1"/>
          <w:szCs w:val="21"/>
          <w:u w:val="single"/>
          <w:lang w:val="zh-CN"/>
          <w14:textFill>
            <w14:solidFill>
              <w14:schemeClr w14:val="tx1"/>
            </w14:solidFill>
          </w14:textFill>
        </w:rPr>
        <w:t xml:space="preserve">    （单位盖章）     </w:t>
      </w:r>
      <w:r>
        <w:rPr>
          <w:rFonts w:hint="eastAsia" w:ascii="宋体" w:hAnsi="宋体" w:eastAsia="宋体" w:cs="宋体"/>
          <w:bCs/>
          <w:color w:val="000000" w:themeColor="text1"/>
          <w:szCs w:val="21"/>
          <w:lang w:val="zh-CN"/>
          <w14:textFill>
            <w14:solidFill>
              <w14:schemeClr w14:val="tx1"/>
            </w14:solidFill>
          </w14:textFill>
        </w:rPr>
        <w:t xml:space="preserve">          乙方：</w:t>
      </w:r>
      <w:r>
        <w:rPr>
          <w:rFonts w:hint="eastAsia" w:ascii="宋体" w:hAnsi="宋体" w:eastAsia="宋体" w:cs="宋体"/>
          <w:bCs/>
          <w:color w:val="000000" w:themeColor="text1"/>
          <w:szCs w:val="21"/>
          <w:u w:val="single"/>
          <w:lang w:val="zh-CN"/>
          <w14:textFill>
            <w14:solidFill>
              <w14:schemeClr w14:val="tx1"/>
            </w14:solidFill>
          </w14:textFill>
        </w:rPr>
        <w:t xml:space="preserve">    （单位盖章）     </w:t>
      </w:r>
    </w:p>
    <w:p w14:paraId="181AFA42">
      <w:pPr>
        <w:autoSpaceDE w:val="0"/>
        <w:autoSpaceDN w:val="0"/>
        <w:adjustRightInd w:val="0"/>
        <w:spacing w:line="400" w:lineRule="exact"/>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法定代表人                               法定代表人</w:t>
      </w:r>
    </w:p>
    <w:p w14:paraId="5DFF682D">
      <w:pPr>
        <w:autoSpaceDE w:val="0"/>
        <w:autoSpaceDN w:val="0"/>
        <w:adjustRightInd w:val="0"/>
        <w:spacing w:line="400" w:lineRule="exact"/>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或授权代表（签字）：                      或授权代表（签字）：</w:t>
      </w:r>
    </w:p>
    <w:p w14:paraId="2A4C7B03">
      <w:pPr>
        <w:widowControl/>
        <w:spacing w:line="400" w:lineRule="exact"/>
        <w:jc w:val="left"/>
        <w:rPr>
          <w:rFonts w:hint="eastAsia" w:ascii="宋体" w:hAnsi="宋体" w:eastAsia="宋体" w:cs="宋体"/>
          <w:bCs/>
          <w:color w:val="000000" w:themeColor="text1"/>
          <w:szCs w:val="21"/>
          <w14:textFill>
            <w14:solidFill>
              <w14:schemeClr w14:val="tx1"/>
            </w14:solidFill>
          </w14:textFill>
        </w:rPr>
      </w:pPr>
      <w:bookmarkStart w:id="88" w:name="_Toc331685783"/>
      <w:r>
        <w:rPr>
          <w:rFonts w:hint="eastAsia" w:ascii="宋体" w:hAnsi="宋体" w:eastAsia="宋体" w:cs="宋体"/>
          <w:bCs/>
          <w:color w:val="000000" w:themeColor="text1"/>
          <w:szCs w:val="21"/>
          <w14:textFill>
            <w14:solidFill>
              <w14:schemeClr w14:val="tx1"/>
            </w14:solidFill>
          </w14:textFill>
        </w:rPr>
        <w:t>时间：</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年</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月</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日               时间：</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年</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月</w:t>
      </w:r>
      <w:r>
        <w:rPr>
          <w:rFonts w:hint="eastAsia" w:ascii="宋体" w:hAnsi="宋体" w:eastAsia="宋体" w:cs="宋体"/>
          <w:bCs/>
          <w:color w:val="000000" w:themeColor="text1"/>
          <w:szCs w:val="21"/>
          <w:u w:val="single"/>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日</w:t>
      </w:r>
    </w:p>
    <w:p w14:paraId="5317F4CF">
      <w:pPr>
        <w:spacing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bookmarkStart w:id="89" w:name="_Hlk110099149"/>
      <w:r>
        <w:rPr>
          <w:rFonts w:hint="eastAsia" w:ascii="宋体" w:hAnsi="宋体" w:eastAsia="宋体" w:cs="宋体"/>
          <w:color w:val="000000" w:themeColor="text1"/>
          <w:szCs w:val="21"/>
          <w14:textFill>
            <w14:solidFill>
              <w14:schemeClr w14:val="tx1"/>
            </w14:solidFill>
          </w14:textFill>
        </w:rPr>
        <w:t>乙方账户信息</w:t>
      </w:r>
    </w:p>
    <w:p w14:paraId="5917976B">
      <w:pPr>
        <w:spacing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户名：</w:t>
      </w:r>
      <w:r>
        <w:rPr>
          <w:rFonts w:hint="eastAsia" w:ascii="宋体" w:hAnsi="宋体" w:eastAsia="宋体" w:cs="宋体"/>
          <w:color w:val="000000" w:themeColor="text1"/>
          <w:szCs w:val="21"/>
          <w:u w:val="single"/>
          <w14:textFill>
            <w14:solidFill>
              <w14:schemeClr w14:val="tx1"/>
            </w14:solidFill>
          </w14:textFill>
        </w:rPr>
        <w:t xml:space="preserve">            </w:t>
      </w:r>
    </w:p>
    <w:p w14:paraId="7918C520">
      <w:pPr>
        <w:spacing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账号：</w:t>
      </w:r>
      <w:r>
        <w:rPr>
          <w:rFonts w:hint="eastAsia" w:ascii="宋体" w:hAnsi="宋体" w:eastAsia="宋体" w:cs="宋体"/>
          <w:color w:val="000000" w:themeColor="text1"/>
          <w:szCs w:val="21"/>
          <w:u w:val="single"/>
          <w14:textFill>
            <w14:solidFill>
              <w14:schemeClr w14:val="tx1"/>
            </w14:solidFill>
          </w14:textFill>
        </w:rPr>
        <w:t xml:space="preserve">            </w:t>
      </w:r>
    </w:p>
    <w:p w14:paraId="464F53FC">
      <w:pPr>
        <w:spacing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开户银行：</w:t>
      </w:r>
      <w:r>
        <w:rPr>
          <w:rFonts w:hint="eastAsia" w:ascii="宋体" w:hAnsi="宋体" w:eastAsia="宋体" w:cs="宋体"/>
          <w:color w:val="000000" w:themeColor="text1"/>
          <w:szCs w:val="21"/>
          <w:u w:val="single"/>
          <w14:textFill>
            <w14:solidFill>
              <w14:schemeClr w14:val="tx1"/>
            </w14:solidFill>
          </w14:textFill>
        </w:rPr>
        <w:t xml:space="preserve">        </w:t>
      </w:r>
    </w:p>
    <w:bookmarkEnd w:id="89"/>
    <w:p w14:paraId="6C55D205">
      <w:pPr>
        <w:widowControl/>
        <w:spacing w:line="400" w:lineRule="exact"/>
        <w:jc w:val="left"/>
        <w:rPr>
          <w:rFonts w:hint="eastAsia" w:ascii="宋体" w:hAnsi="宋体" w:eastAsia="宋体" w:cs="宋体"/>
          <w:b/>
          <w:color w:val="000000" w:themeColor="text1"/>
          <w:szCs w:val="21"/>
          <w14:textFill>
            <w14:solidFill>
              <w14:schemeClr w14:val="tx1"/>
            </w14:solidFill>
          </w14:textFill>
        </w:rPr>
      </w:pPr>
      <w:bookmarkStart w:id="90" w:name="_Toc415"/>
    </w:p>
    <w:p w14:paraId="3367041A">
      <w:pPr>
        <w:widowControl/>
        <w:spacing w:line="400" w:lineRule="exact"/>
        <w:jc w:val="left"/>
        <w:rPr>
          <w:rFonts w:hint="eastAsia" w:ascii="宋体" w:hAnsi="宋体" w:eastAsia="宋体" w:cs="宋体"/>
          <w:b/>
          <w:color w:val="000000" w:themeColor="text1"/>
          <w:szCs w:val="21"/>
          <w14:textFill>
            <w14:solidFill>
              <w14:schemeClr w14:val="tx1"/>
            </w14:solidFill>
          </w14:textFill>
        </w:rPr>
      </w:pPr>
    </w:p>
    <w:p w14:paraId="12151DB5">
      <w:pPr>
        <w:widowControl/>
        <w:spacing w:line="400" w:lineRule="exact"/>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第二部分 合同一般条款</w:t>
      </w:r>
      <w:bookmarkEnd w:id="88"/>
      <w:bookmarkEnd w:id="90"/>
    </w:p>
    <w:p w14:paraId="4F216E70">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91" w:name="_Ref467379094"/>
      <w:bookmarkStart w:id="92" w:name="_Ref467379225"/>
      <w:bookmarkStart w:id="93" w:name="_Ref467378499"/>
      <w:bookmarkStart w:id="94" w:name="_Ref467378463"/>
      <w:bookmarkStart w:id="95" w:name="_Toc279701240"/>
      <w:bookmarkStart w:id="96" w:name="_Ref467379214"/>
      <w:bookmarkStart w:id="97" w:name="_Ref467379109"/>
      <w:bookmarkStart w:id="98" w:name="_Ref467379195"/>
      <w:bookmarkStart w:id="99" w:name="_Toc19614"/>
      <w:bookmarkStart w:id="100" w:name="_Toc16917"/>
      <w:bookmarkStart w:id="101" w:name="_Ref467379205"/>
      <w:bookmarkStart w:id="102" w:name="_Toc28763"/>
      <w:bookmarkStart w:id="103" w:name="_Ref467379101"/>
      <w:bookmarkStart w:id="104" w:name="_Toc259093669"/>
      <w:bookmarkStart w:id="105" w:name="_Ref467378404"/>
      <w:bookmarkStart w:id="106" w:name="_Toc487900349"/>
      <w:r>
        <w:rPr>
          <w:rFonts w:hint="eastAsia" w:ascii="宋体" w:hAnsi="宋体" w:eastAsia="宋体" w:cs="宋体"/>
          <w:b/>
          <w:bCs/>
          <w:color w:val="000000" w:themeColor="text1"/>
          <w:szCs w:val="21"/>
          <w:lang w:val="zh-CN"/>
          <w14:textFill>
            <w14:solidFill>
              <w14:schemeClr w14:val="tx1"/>
            </w14:solidFill>
          </w14:textFill>
        </w:rPr>
        <w:t>2.1 定义</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509695AE">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本合同中的下列词语应按以下内容进行解释：</w:t>
      </w:r>
    </w:p>
    <w:p w14:paraId="3BF909A1">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2.1.1“合同”系指采购人和中标人签订的载明双方当事人所达成的协议，并包括所有的附件、附录和构成合同的其他文件。</w:t>
      </w:r>
    </w:p>
    <w:p w14:paraId="5BF34206">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2.1.2“合同价”系指根据合同约定，中标人在完全履行合同义务后，采购人应支付给中标人的价格。</w:t>
      </w:r>
    </w:p>
    <w:p w14:paraId="1E38C689">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2.1.3“服务”系指中标人根据合同约定应向采购人履行的除货物和工程以外的其他政府采购对象，包括采购人自身需要的服务和向社会公众提供的公共服务。</w:t>
      </w:r>
    </w:p>
    <w:p w14:paraId="03252DE5">
      <w:pPr>
        <w:spacing w:line="360" w:lineRule="exact"/>
        <w:ind w:firstLine="435"/>
        <w:rPr>
          <w:rFonts w:hint="eastAsia" w:ascii="宋体" w:hAnsi="宋体" w:eastAsia="宋体" w:cs="宋体"/>
          <w:color w:val="000000" w:themeColor="text1"/>
          <w:szCs w:val="21"/>
          <w14:textFill>
            <w14:solidFill>
              <w14:schemeClr w14:val="tx1"/>
            </w14:solidFill>
          </w14:textFill>
        </w:rPr>
      </w:pPr>
      <w:bookmarkStart w:id="107" w:name="_Ref467378840"/>
      <w:r>
        <w:rPr>
          <w:rFonts w:hint="eastAsia" w:ascii="宋体" w:hAnsi="宋体" w:eastAsia="宋体" w:cs="宋体"/>
          <w:color w:val="000000" w:themeColor="text1"/>
          <w:szCs w:val="21"/>
          <w14:textFill>
            <w14:solidFill>
              <w14:schemeClr w14:val="tx1"/>
            </w14:solidFill>
          </w14:textFill>
        </w:rPr>
        <w:t>2.1.4“甲方”系指与中标人签署合同的采购人</w:t>
      </w:r>
      <w:bookmarkEnd w:id="107"/>
      <w:r>
        <w:rPr>
          <w:rFonts w:hint="eastAsia" w:ascii="宋体" w:hAnsi="宋体" w:eastAsia="宋体" w:cs="宋体"/>
          <w:color w:val="000000" w:themeColor="text1"/>
          <w:szCs w:val="21"/>
          <w14:textFill>
            <w14:solidFill>
              <w14:schemeClr w14:val="tx1"/>
            </w14:solidFill>
          </w14:textFill>
        </w:rPr>
        <w:t>；采购人委托采购代理机构代表其与乙方签订合同的，采购人的授权委托书作为合同附件。</w:t>
      </w:r>
    </w:p>
    <w:p w14:paraId="445E5F8A">
      <w:pPr>
        <w:spacing w:line="360" w:lineRule="exact"/>
        <w:ind w:firstLine="435"/>
        <w:rPr>
          <w:rFonts w:hint="eastAsia" w:ascii="宋体" w:hAnsi="宋体" w:eastAsia="宋体" w:cs="宋体"/>
          <w:color w:val="000000" w:themeColor="text1"/>
          <w:szCs w:val="21"/>
          <w14:textFill>
            <w14:solidFill>
              <w14:schemeClr w14:val="tx1"/>
            </w14:solidFill>
          </w14:textFill>
        </w:rPr>
      </w:pPr>
      <w:bookmarkStart w:id="108" w:name="_Ref467379400"/>
      <w:r>
        <w:rPr>
          <w:rFonts w:hint="eastAsia" w:ascii="宋体" w:hAnsi="宋体" w:eastAsia="宋体" w:cs="宋体"/>
          <w:color w:val="000000" w:themeColor="text1"/>
          <w:szCs w:val="21"/>
          <w14:textFill>
            <w14:solidFill>
              <w14:schemeClr w14:val="tx1"/>
            </w14:solidFill>
          </w14:textFill>
        </w:rPr>
        <w:t>2.1.5“乙方”系指根据合同约定提供服务的中标人</w:t>
      </w:r>
      <w:bookmarkEnd w:id="108"/>
      <w:r>
        <w:rPr>
          <w:rFonts w:hint="eastAsia" w:ascii="宋体" w:hAnsi="宋体" w:eastAsia="宋体" w:cs="宋体"/>
          <w:color w:val="000000" w:themeColor="text1"/>
          <w:szCs w:val="21"/>
          <w14:textFill>
            <w14:solidFill>
              <w14:schemeClr w14:val="tx1"/>
            </w14:solidFill>
          </w14:textFill>
        </w:rPr>
        <w:t>；两个以上的自然人、法人或者其他组织组成一个联合体，以一个投标人的身份共同参加政府采购的，联合体各方均应为乙方或者与乙方相同地位的合同当事人，并就合同约定的事项对甲方承担连带责任。</w:t>
      </w:r>
    </w:p>
    <w:p w14:paraId="7384178F">
      <w:pPr>
        <w:spacing w:line="360" w:lineRule="exact"/>
        <w:ind w:firstLine="435"/>
        <w:rPr>
          <w:rFonts w:hint="eastAsia" w:ascii="宋体" w:hAnsi="宋体" w:eastAsia="宋体" w:cs="宋体"/>
          <w:color w:val="000000" w:themeColor="text1"/>
          <w:szCs w:val="21"/>
          <w14:textFill>
            <w14:solidFill>
              <w14:schemeClr w14:val="tx1"/>
            </w14:solidFill>
          </w14:textFill>
        </w:rPr>
      </w:pPr>
      <w:bookmarkStart w:id="109" w:name="_Ref467379436"/>
      <w:r>
        <w:rPr>
          <w:rFonts w:hint="eastAsia" w:ascii="宋体" w:hAnsi="宋体" w:eastAsia="宋体" w:cs="宋体"/>
          <w:color w:val="000000" w:themeColor="text1"/>
          <w:szCs w:val="21"/>
          <w14:textFill>
            <w14:solidFill>
              <w14:schemeClr w14:val="tx1"/>
            </w14:solidFill>
          </w14:textFill>
        </w:rPr>
        <w:t>2.1.6“现场”系指合同约定提供服务的地点。</w:t>
      </w:r>
      <w:bookmarkEnd w:id="109"/>
    </w:p>
    <w:p w14:paraId="2D88C568">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10" w:name="_Toc27635"/>
      <w:bookmarkStart w:id="111" w:name="_Toc259093670"/>
      <w:bookmarkStart w:id="112" w:name="_Toc487900350"/>
      <w:bookmarkStart w:id="113" w:name="_Toc279701241"/>
      <w:bookmarkStart w:id="114" w:name="_Toc32504"/>
      <w:bookmarkStart w:id="115" w:name="_Toc13336"/>
      <w:r>
        <w:rPr>
          <w:rFonts w:hint="eastAsia" w:ascii="宋体" w:hAnsi="宋体" w:eastAsia="宋体" w:cs="宋体"/>
          <w:b/>
          <w:bCs/>
          <w:color w:val="000000" w:themeColor="text1"/>
          <w:szCs w:val="21"/>
          <w:lang w:val="zh-CN"/>
          <w14:textFill>
            <w14:solidFill>
              <w14:schemeClr w14:val="tx1"/>
            </w14:solidFill>
          </w14:textFill>
        </w:rPr>
        <w:t>2.2 技术规范</w:t>
      </w:r>
      <w:bookmarkEnd w:id="110"/>
      <w:bookmarkEnd w:id="111"/>
      <w:bookmarkEnd w:id="112"/>
      <w:bookmarkEnd w:id="113"/>
      <w:bookmarkEnd w:id="114"/>
      <w:bookmarkEnd w:id="115"/>
    </w:p>
    <w:p w14:paraId="7309F561">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01778D5">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16" w:name="_Toc9829"/>
      <w:bookmarkStart w:id="117" w:name="_Toc259093671"/>
      <w:bookmarkStart w:id="118" w:name="_Toc487900351"/>
      <w:bookmarkStart w:id="119" w:name="_Toc27853"/>
      <w:bookmarkStart w:id="120" w:name="_Toc279701242"/>
      <w:bookmarkStart w:id="121" w:name="_Toc31634"/>
      <w:r>
        <w:rPr>
          <w:rFonts w:hint="eastAsia" w:ascii="宋体" w:hAnsi="宋体" w:eastAsia="宋体" w:cs="宋体"/>
          <w:b/>
          <w:bCs/>
          <w:color w:val="000000" w:themeColor="text1"/>
          <w:szCs w:val="21"/>
          <w:lang w:val="zh-CN"/>
          <w14:textFill>
            <w14:solidFill>
              <w14:schemeClr w14:val="tx1"/>
            </w14:solidFill>
          </w14:textFill>
        </w:rPr>
        <w:t>2.3 知识产权</w:t>
      </w:r>
      <w:bookmarkEnd w:id="116"/>
      <w:bookmarkEnd w:id="117"/>
      <w:bookmarkEnd w:id="118"/>
      <w:bookmarkEnd w:id="119"/>
      <w:bookmarkEnd w:id="120"/>
      <w:bookmarkEnd w:id="121"/>
    </w:p>
    <w:p w14:paraId="7F83611C">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6E31784A">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2.3.2具有知识产权的计算机软件等货物的知识产权归属，详见</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w:t>
      </w:r>
    </w:p>
    <w:p w14:paraId="7AE0984E">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22" w:name="_Ref467379542"/>
      <w:bookmarkStart w:id="123" w:name="_Ref467378541"/>
      <w:bookmarkStart w:id="124" w:name="_Toc259093674"/>
      <w:bookmarkStart w:id="125" w:name="_Ref467378591"/>
      <w:bookmarkStart w:id="126" w:name="_Toc279701245"/>
      <w:bookmarkStart w:id="127" w:name="_Toc487900354"/>
      <w:bookmarkStart w:id="128" w:name="_Ref467379536"/>
      <w:bookmarkStart w:id="129" w:name="_Ref467379527"/>
      <w:bookmarkStart w:id="130" w:name="_Toc26182"/>
      <w:bookmarkStart w:id="131" w:name="_Toc19074"/>
      <w:bookmarkStart w:id="132" w:name="_Toc30272"/>
      <w:r>
        <w:rPr>
          <w:rFonts w:hint="eastAsia" w:ascii="宋体" w:hAnsi="宋体" w:eastAsia="宋体" w:cs="宋体"/>
          <w:b/>
          <w:bCs/>
          <w:color w:val="000000" w:themeColor="text1"/>
          <w:szCs w:val="21"/>
          <w:lang w:val="zh-CN"/>
          <w14:textFill>
            <w14:solidFill>
              <w14:schemeClr w14:val="tx1"/>
            </w14:solidFill>
          </w14:textFill>
        </w:rPr>
        <w:t>2.</w:t>
      </w:r>
      <w:bookmarkEnd w:id="122"/>
      <w:bookmarkEnd w:id="123"/>
      <w:bookmarkEnd w:id="124"/>
      <w:bookmarkEnd w:id="125"/>
      <w:bookmarkEnd w:id="126"/>
      <w:bookmarkEnd w:id="127"/>
      <w:bookmarkEnd w:id="128"/>
      <w:bookmarkEnd w:id="129"/>
      <w:r>
        <w:rPr>
          <w:rFonts w:hint="eastAsia" w:ascii="宋体" w:hAnsi="宋体" w:eastAsia="宋体" w:cs="宋体"/>
          <w:b/>
          <w:bCs/>
          <w:color w:val="000000" w:themeColor="text1"/>
          <w:szCs w:val="21"/>
          <w:lang w:val="zh-CN"/>
          <w14:textFill>
            <w14:solidFill>
              <w14:schemeClr w14:val="tx1"/>
            </w14:solidFill>
          </w14:textFill>
        </w:rPr>
        <w:t>4 履约检查和问题反馈</w:t>
      </w:r>
      <w:bookmarkEnd w:id="130"/>
      <w:bookmarkEnd w:id="131"/>
      <w:bookmarkEnd w:id="132"/>
    </w:p>
    <w:p w14:paraId="153FD80F">
      <w:pPr>
        <w:spacing w:line="360" w:lineRule="exact"/>
        <w:ind w:firstLine="435"/>
        <w:rPr>
          <w:rFonts w:hint="eastAsia" w:ascii="宋体" w:hAnsi="宋体" w:eastAsia="宋体" w:cs="宋体"/>
          <w:color w:val="000000" w:themeColor="text1"/>
          <w:szCs w:val="21"/>
          <w14:textFill>
            <w14:solidFill>
              <w14:schemeClr w14:val="tx1"/>
            </w14:solidFill>
          </w14:textFill>
        </w:rPr>
      </w:pPr>
      <w:bookmarkStart w:id="133" w:name="_Toc186431854"/>
      <w:bookmarkStart w:id="134" w:name="_Ref467379807"/>
      <w:bookmarkStart w:id="135" w:name="_Toc279701247"/>
      <w:bookmarkStart w:id="136" w:name="_Toc259093676"/>
      <w:bookmarkStart w:id="137" w:name="_Ref467379793"/>
      <w:bookmarkStart w:id="138" w:name="_Toc487900357"/>
      <w:r>
        <w:rPr>
          <w:rFonts w:hint="eastAsia" w:ascii="宋体" w:hAnsi="宋体" w:eastAsia="宋体" w:cs="宋体"/>
          <w:color w:val="000000" w:themeColor="text1"/>
          <w:szCs w:val="21"/>
          <w14:textFill>
            <w14:solidFill>
              <w14:schemeClr w14:val="tx1"/>
            </w14:solidFill>
          </w14:textFill>
        </w:rPr>
        <w:t>2.4.1甲方有权在其认为必要时，对乙方是否能够按照合同约定提供服务进行履约检查，以确保乙方所提供的服务能够依约满足甲方项目需求，但不得因履约检查妨碍乙方的正常工作，乙方应予积极配合；</w:t>
      </w:r>
    </w:p>
    <w:p w14:paraId="4D506455">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2.4.2合同履行期间，甲方有权将履行过程中出现的问题反馈给乙方，双方当事人应以书面形式约定需要完善和改进的内容</w:t>
      </w:r>
      <w:bookmarkEnd w:id="133"/>
      <w:bookmarkStart w:id="139" w:name="_Toc186431855"/>
      <w:r>
        <w:rPr>
          <w:rFonts w:hint="eastAsia" w:ascii="宋体" w:hAnsi="宋体" w:eastAsia="宋体" w:cs="宋体"/>
          <w:color w:val="000000" w:themeColor="text1"/>
          <w:szCs w:val="21"/>
          <w14:textFill>
            <w14:solidFill>
              <w14:schemeClr w14:val="tx1"/>
            </w14:solidFill>
          </w14:textFill>
        </w:rPr>
        <w:t>。</w:t>
      </w:r>
    </w:p>
    <w:bookmarkEnd w:id="139"/>
    <w:p w14:paraId="2025E327">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40" w:name="_Toc28451"/>
      <w:bookmarkStart w:id="141" w:name="_Toc7836"/>
      <w:bookmarkStart w:id="142" w:name="_Toc19219"/>
      <w:r>
        <w:rPr>
          <w:rFonts w:hint="eastAsia" w:ascii="宋体" w:hAnsi="宋体" w:eastAsia="宋体" w:cs="宋体"/>
          <w:b/>
          <w:bCs/>
          <w:color w:val="000000" w:themeColor="text1"/>
          <w:szCs w:val="21"/>
          <w:lang w:val="zh-CN"/>
          <w14:textFill>
            <w14:solidFill>
              <w14:schemeClr w14:val="tx1"/>
            </w14:solidFill>
          </w14:textFill>
        </w:rPr>
        <w:t>2.5 结算方式和付款条件</w:t>
      </w:r>
      <w:bookmarkEnd w:id="134"/>
      <w:bookmarkEnd w:id="135"/>
      <w:bookmarkEnd w:id="136"/>
      <w:bookmarkEnd w:id="137"/>
      <w:bookmarkEnd w:id="138"/>
      <w:bookmarkEnd w:id="140"/>
      <w:bookmarkEnd w:id="141"/>
      <w:bookmarkEnd w:id="142"/>
    </w:p>
    <w:p w14:paraId="68881393">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详见</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w:t>
      </w:r>
    </w:p>
    <w:p w14:paraId="4763E863">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43" w:name="_Ref467379863"/>
      <w:bookmarkStart w:id="144" w:name="_Ref467379923"/>
      <w:bookmarkStart w:id="145" w:name="_Ref467379852"/>
      <w:bookmarkStart w:id="146" w:name="_Toc259093677"/>
      <w:bookmarkStart w:id="147" w:name="_Toc279701248"/>
      <w:bookmarkStart w:id="148" w:name="_Toc487900358"/>
      <w:bookmarkStart w:id="149" w:name="_Toc16110"/>
      <w:bookmarkStart w:id="150" w:name="_Toc774"/>
      <w:bookmarkStart w:id="151" w:name="_Toc3225"/>
      <w:r>
        <w:rPr>
          <w:rFonts w:hint="eastAsia" w:ascii="宋体" w:hAnsi="宋体" w:eastAsia="宋体" w:cs="宋体"/>
          <w:b/>
          <w:bCs/>
          <w:color w:val="000000" w:themeColor="text1"/>
          <w:szCs w:val="21"/>
          <w:lang w:val="zh-CN"/>
          <w14:textFill>
            <w14:solidFill>
              <w14:schemeClr w14:val="tx1"/>
            </w14:solidFill>
          </w14:textFill>
        </w:rPr>
        <w:t>2.6 技术资料</w:t>
      </w:r>
      <w:bookmarkEnd w:id="143"/>
      <w:bookmarkEnd w:id="144"/>
      <w:bookmarkEnd w:id="145"/>
      <w:bookmarkEnd w:id="146"/>
      <w:bookmarkEnd w:id="147"/>
      <w:bookmarkEnd w:id="148"/>
      <w:r>
        <w:rPr>
          <w:rFonts w:hint="eastAsia" w:ascii="宋体" w:hAnsi="宋体" w:eastAsia="宋体" w:cs="宋体"/>
          <w:b/>
          <w:bCs/>
          <w:color w:val="000000" w:themeColor="text1"/>
          <w:szCs w:val="21"/>
          <w:lang w:val="zh-CN"/>
          <w14:textFill>
            <w14:solidFill>
              <w14:schemeClr w14:val="tx1"/>
            </w14:solidFill>
          </w14:textFill>
        </w:rPr>
        <w:t>和保密义务</w:t>
      </w:r>
      <w:bookmarkEnd w:id="149"/>
      <w:bookmarkEnd w:id="150"/>
      <w:bookmarkEnd w:id="151"/>
    </w:p>
    <w:p w14:paraId="5ED6ECB7">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2.6.1乙方有权依据合同约定和项目需要，向甲方了解有关情况，调阅有关资料等，甲方应予积极配合；</w:t>
      </w:r>
    </w:p>
    <w:p w14:paraId="7643FEA5">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2.6.2乙方有义务妥善保管和保护由甲方提供的前款信息和资料等；</w:t>
      </w:r>
    </w:p>
    <w:p w14:paraId="298CFBCD">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0A4A4B1">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52" w:name="_Toc7860"/>
      <w:r>
        <w:rPr>
          <w:rFonts w:hint="eastAsia" w:ascii="宋体" w:hAnsi="宋体" w:eastAsia="宋体" w:cs="宋体"/>
          <w:b/>
          <w:bCs/>
          <w:color w:val="000000" w:themeColor="text1"/>
          <w:szCs w:val="21"/>
          <w:lang w:val="zh-CN"/>
          <w14:textFill>
            <w14:solidFill>
              <w14:schemeClr w14:val="tx1"/>
            </w14:solidFill>
          </w14:textFill>
        </w:rPr>
        <w:t>2.7 质量保证</w:t>
      </w:r>
      <w:bookmarkEnd w:id="152"/>
    </w:p>
    <w:p w14:paraId="674EDD22">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2.7.1乙方应建立和完善履行合同的内部质量保证体系，并提供相关内部规章制度给甲方，以便甲方进行监督检查；</w:t>
      </w:r>
    </w:p>
    <w:p w14:paraId="57866274">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2.7.2乙方应保证履行合同的人员数量和素质、软件和硬件设备的配置、场地、环境和设施等满足全面履行合同的要求，并应接受甲方的监督检查。</w:t>
      </w:r>
    </w:p>
    <w:p w14:paraId="597BD4B4">
      <w:pPr>
        <w:spacing w:line="360" w:lineRule="exact"/>
        <w:ind w:firstLine="437"/>
        <w:outlineLvl w:val="2"/>
        <w:rPr>
          <w:rFonts w:hint="eastAsia" w:ascii="宋体" w:hAnsi="宋体" w:eastAsia="宋体" w:cs="宋体"/>
          <w:b/>
          <w:color w:val="000000" w:themeColor="text1"/>
          <w:szCs w:val="21"/>
          <w14:textFill>
            <w14:solidFill>
              <w14:schemeClr w14:val="tx1"/>
            </w14:solidFill>
          </w14:textFill>
        </w:rPr>
      </w:pPr>
      <w:bookmarkStart w:id="153" w:name="_Toc22267"/>
      <w:r>
        <w:rPr>
          <w:rFonts w:hint="eastAsia" w:ascii="宋体" w:hAnsi="宋体" w:eastAsia="宋体" w:cs="宋体"/>
          <w:b/>
          <w:color w:val="000000" w:themeColor="text1"/>
          <w:szCs w:val="21"/>
          <w14:textFill>
            <w14:solidFill>
              <w14:schemeClr w14:val="tx1"/>
            </w14:solidFill>
          </w14:textFill>
        </w:rPr>
        <w:t>2.8 延迟履行</w:t>
      </w:r>
      <w:bookmarkEnd w:id="153"/>
    </w:p>
    <w:p w14:paraId="7E9BF20D">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3FA1D5CF">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54" w:name="_Toc7502"/>
      <w:bookmarkStart w:id="155" w:name="_Ref467378121"/>
      <w:bookmarkStart w:id="156" w:name="_Toc259093683"/>
      <w:bookmarkStart w:id="157" w:name="_Toc487900364"/>
      <w:bookmarkStart w:id="158" w:name="_Toc279701254"/>
      <w:r>
        <w:rPr>
          <w:rFonts w:hint="eastAsia" w:ascii="宋体" w:hAnsi="宋体" w:eastAsia="宋体" w:cs="宋体"/>
          <w:b/>
          <w:bCs/>
          <w:color w:val="000000" w:themeColor="text1"/>
          <w:szCs w:val="21"/>
          <w:lang w:val="zh-CN"/>
          <w14:textFill>
            <w14:solidFill>
              <w14:schemeClr w14:val="tx1"/>
            </w14:solidFill>
          </w14:textFill>
        </w:rPr>
        <w:t>2.9 合同变更</w:t>
      </w:r>
      <w:bookmarkEnd w:id="154"/>
    </w:p>
    <w:p w14:paraId="3E942E0E">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2.9.1双方当事人协商一致，可以签订书面补充合同的形式变更合同，但不得违背采购文件确定的事项；</w:t>
      </w:r>
    </w:p>
    <w:p w14:paraId="55B7B058">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2.9.2合同继续履行将损害国家利益和社会公共利益的，双方当事人应当以书面形式变更合同。有过错的一方应当承担赔偿责任，双方当事人都有过错的，各自承担相应的责任。</w:t>
      </w:r>
      <w:bookmarkStart w:id="159" w:name="_Toc279701259"/>
      <w:bookmarkStart w:id="160" w:name="_Toc259093688"/>
      <w:bookmarkStart w:id="161" w:name="_Toc487900369"/>
    </w:p>
    <w:p w14:paraId="02F4F0F8">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62" w:name="_Toc22955"/>
      <w:bookmarkStart w:id="163" w:name="_Toc15237"/>
      <w:bookmarkStart w:id="164" w:name="_Toc10366"/>
      <w:r>
        <w:rPr>
          <w:rFonts w:hint="eastAsia" w:ascii="宋体" w:hAnsi="宋体" w:eastAsia="宋体" w:cs="宋体"/>
          <w:b/>
          <w:bCs/>
          <w:color w:val="000000" w:themeColor="text1"/>
          <w:szCs w:val="21"/>
          <w:lang w:val="zh-CN"/>
          <w14:textFill>
            <w14:solidFill>
              <w14:schemeClr w14:val="tx1"/>
            </w14:solidFill>
          </w14:textFill>
        </w:rPr>
        <w:t>2.10 合同转让</w:t>
      </w:r>
      <w:bookmarkEnd w:id="159"/>
      <w:bookmarkEnd w:id="160"/>
      <w:bookmarkEnd w:id="161"/>
      <w:r>
        <w:rPr>
          <w:rFonts w:hint="eastAsia" w:ascii="宋体" w:hAnsi="宋体" w:eastAsia="宋体" w:cs="宋体"/>
          <w:b/>
          <w:bCs/>
          <w:color w:val="000000" w:themeColor="text1"/>
          <w:szCs w:val="21"/>
          <w:lang w:val="zh-CN"/>
          <w14:textFill>
            <w14:solidFill>
              <w14:schemeClr w14:val="tx1"/>
            </w14:solidFill>
          </w14:textFill>
        </w:rPr>
        <w:t>和分包</w:t>
      </w:r>
      <w:bookmarkEnd w:id="162"/>
      <w:bookmarkEnd w:id="163"/>
      <w:bookmarkEnd w:id="164"/>
    </w:p>
    <w:p w14:paraId="09CD1B23">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合同的权利义务依法不得转让、不得分包。</w:t>
      </w:r>
    </w:p>
    <w:p w14:paraId="1C96B44F">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65" w:name="_Toc16508"/>
      <w:bookmarkStart w:id="166" w:name="_Toc13566"/>
      <w:bookmarkStart w:id="167" w:name="_Toc14066"/>
      <w:r>
        <w:rPr>
          <w:rFonts w:hint="eastAsia" w:ascii="宋体" w:hAnsi="宋体" w:eastAsia="宋体" w:cs="宋体"/>
          <w:b/>
          <w:bCs/>
          <w:color w:val="000000" w:themeColor="text1"/>
          <w:szCs w:val="21"/>
          <w:lang w:val="zh-CN"/>
          <w14:textFill>
            <w14:solidFill>
              <w14:schemeClr w14:val="tx1"/>
            </w14:solidFill>
          </w14:textFill>
        </w:rPr>
        <w:t>2.11 不可抗力</w:t>
      </w:r>
      <w:bookmarkEnd w:id="165"/>
      <w:bookmarkEnd w:id="166"/>
      <w:bookmarkEnd w:id="167"/>
    </w:p>
    <w:p w14:paraId="5C8FF3B5">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2.11.1如果任何一方遭遇法律规定的不可抗力，致使合同履行受阻时，履行合同的期限应予延长，延长的期限应相当于不可抗力所影响的时间；</w:t>
      </w:r>
    </w:p>
    <w:p w14:paraId="1985607A">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2.11.2因不可抗力致使不能实现合同目的的，当事人可以解除合同；</w:t>
      </w:r>
    </w:p>
    <w:p w14:paraId="2CD2F1E7">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2.11.3因不可抗力致使合同有变更必要的，双方当事人应在</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约定时间内以书面形式变更合同；</w:t>
      </w:r>
    </w:p>
    <w:p w14:paraId="3396ECA2">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2.11.4受不可抗力影响的一方在不可抗力发生后，应在</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约定时间内以书面形式通知对方当事人，并在</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约定时间内，将有关部门出具的证明文件送达对方当事人。</w:t>
      </w:r>
    </w:p>
    <w:p w14:paraId="4000C1CB">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68" w:name="_Toc487900365"/>
      <w:bookmarkStart w:id="169" w:name="_Toc279701255"/>
      <w:bookmarkStart w:id="170" w:name="_Toc689"/>
      <w:bookmarkStart w:id="171" w:name="_Toc6969"/>
      <w:bookmarkStart w:id="172" w:name="_Toc30676"/>
      <w:bookmarkStart w:id="173" w:name="_Toc259093684"/>
      <w:r>
        <w:rPr>
          <w:rFonts w:hint="eastAsia" w:ascii="宋体" w:hAnsi="宋体" w:eastAsia="宋体" w:cs="宋体"/>
          <w:b/>
          <w:bCs/>
          <w:color w:val="000000" w:themeColor="text1"/>
          <w:szCs w:val="21"/>
          <w:lang w:val="zh-CN"/>
          <w14:textFill>
            <w14:solidFill>
              <w14:schemeClr w14:val="tx1"/>
            </w14:solidFill>
          </w14:textFill>
        </w:rPr>
        <w:t>2.12 税费</w:t>
      </w:r>
      <w:bookmarkEnd w:id="168"/>
      <w:bookmarkEnd w:id="169"/>
      <w:bookmarkEnd w:id="170"/>
      <w:bookmarkEnd w:id="171"/>
      <w:bookmarkEnd w:id="172"/>
      <w:bookmarkEnd w:id="173"/>
    </w:p>
    <w:p w14:paraId="78175266">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与合同有关的一切税费，均按照中华人民共和国法律的相关规定缴纳。</w:t>
      </w:r>
    </w:p>
    <w:p w14:paraId="31C1021A">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74" w:name="_Toc16959"/>
      <w:bookmarkStart w:id="175" w:name="_Toc279701258"/>
      <w:bookmarkStart w:id="176" w:name="_Toc8298"/>
      <w:bookmarkStart w:id="177" w:name="_Toc487900368"/>
      <w:bookmarkStart w:id="178" w:name="_Toc259093687"/>
      <w:bookmarkStart w:id="179" w:name="_Toc7102"/>
      <w:r>
        <w:rPr>
          <w:rFonts w:hint="eastAsia" w:ascii="宋体" w:hAnsi="宋体" w:eastAsia="宋体" w:cs="宋体"/>
          <w:b/>
          <w:bCs/>
          <w:color w:val="000000" w:themeColor="text1"/>
          <w:szCs w:val="21"/>
          <w:lang w:val="zh-CN"/>
          <w14:textFill>
            <w14:solidFill>
              <w14:schemeClr w14:val="tx1"/>
            </w14:solidFill>
          </w14:textFill>
        </w:rPr>
        <w:t>2.13 乙方破产</w:t>
      </w:r>
      <w:bookmarkEnd w:id="174"/>
      <w:bookmarkEnd w:id="175"/>
      <w:bookmarkEnd w:id="176"/>
      <w:bookmarkEnd w:id="177"/>
      <w:bookmarkEnd w:id="178"/>
      <w:bookmarkEnd w:id="179"/>
    </w:p>
    <w:p w14:paraId="547A5A6A">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4EB6C79">
      <w:pPr>
        <w:spacing w:line="360" w:lineRule="exact"/>
        <w:ind w:firstLine="437"/>
        <w:outlineLvl w:val="2"/>
        <w:rPr>
          <w:rFonts w:hint="eastAsia" w:ascii="宋体" w:hAnsi="宋体" w:eastAsia="宋体" w:cs="宋体"/>
          <w:b/>
          <w:color w:val="000000" w:themeColor="text1"/>
          <w:szCs w:val="21"/>
          <w14:textFill>
            <w14:solidFill>
              <w14:schemeClr w14:val="tx1"/>
            </w14:solidFill>
          </w14:textFill>
        </w:rPr>
      </w:pPr>
      <w:bookmarkStart w:id="180" w:name="_Toc15387"/>
      <w:bookmarkStart w:id="181" w:name="_Toc6134"/>
      <w:bookmarkStart w:id="182" w:name="_Toc29333"/>
      <w:r>
        <w:rPr>
          <w:rFonts w:hint="eastAsia" w:ascii="宋体" w:hAnsi="宋体" w:eastAsia="宋体" w:cs="宋体"/>
          <w:b/>
          <w:bCs/>
          <w:color w:val="000000" w:themeColor="text1"/>
          <w:szCs w:val="21"/>
          <w:lang w:val="zh-CN"/>
          <w14:textFill>
            <w14:solidFill>
              <w14:schemeClr w14:val="tx1"/>
            </w14:solidFill>
          </w14:textFill>
        </w:rPr>
        <w:t>2.14 合同中止、终止</w:t>
      </w:r>
      <w:bookmarkEnd w:id="180"/>
      <w:bookmarkEnd w:id="181"/>
      <w:bookmarkEnd w:id="182"/>
    </w:p>
    <w:p w14:paraId="06AD413E">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2.14.1双方当事人不得擅自中止或者终止合同；</w:t>
      </w:r>
    </w:p>
    <w:p w14:paraId="3FAC8E90">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2.14.2合同继续履行将损害国家利益和社会公共利益的，双方当事人应当中止或者终止合同。有过错的一方应当承担赔偿责任，双方当事人都有过错的，各自承担相应的责任。</w:t>
      </w:r>
    </w:p>
    <w:p w14:paraId="59E5F624">
      <w:pPr>
        <w:spacing w:line="360" w:lineRule="exact"/>
        <w:ind w:firstLine="437"/>
        <w:outlineLvl w:val="2"/>
        <w:rPr>
          <w:rFonts w:hint="eastAsia" w:ascii="宋体" w:hAnsi="宋体" w:eastAsia="宋体" w:cs="宋体"/>
          <w:b/>
          <w:bCs/>
          <w:color w:val="000000" w:themeColor="text1"/>
          <w:szCs w:val="21"/>
          <w:lang w:val="zh-CN"/>
          <w14:textFill>
            <w14:solidFill>
              <w14:schemeClr w14:val="tx1"/>
            </w14:solidFill>
          </w14:textFill>
        </w:rPr>
      </w:pPr>
      <w:bookmarkStart w:id="183" w:name="_Toc1125"/>
      <w:bookmarkStart w:id="184" w:name="_Toc6596"/>
      <w:bookmarkStart w:id="185" w:name="_Toc14563"/>
      <w:r>
        <w:rPr>
          <w:rFonts w:hint="eastAsia" w:ascii="宋体" w:hAnsi="宋体" w:eastAsia="宋体" w:cs="宋体"/>
          <w:b/>
          <w:bCs/>
          <w:color w:val="000000" w:themeColor="text1"/>
          <w:szCs w:val="21"/>
          <w:lang w:val="zh-CN"/>
          <w14:textFill>
            <w14:solidFill>
              <w14:schemeClr w14:val="tx1"/>
            </w14:solidFill>
          </w14:textFill>
        </w:rPr>
        <w:t>2.15 检验和验收</w:t>
      </w:r>
      <w:bookmarkEnd w:id="183"/>
      <w:bookmarkEnd w:id="184"/>
      <w:bookmarkEnd w:id="185"/>
    </w:p>
    <w:p w14:paraId="66209606">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2.15.1乙方按照</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的约定，定期提交服务报告，甲方按照</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的约定进行定期验收；</w:t>
      </w:r>
    </w:p>
    <w:p w14:paraId="0B2840F2">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22503272">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2.15.3检验和验收标准、程序等具体内容以及前述验收书的效力详见</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i/>
          <w:color w:val="000000" w:themeColor="text1"/>
          <w:szCs w:val="21"/>
          <w14:textFill>
            <w14:solidFill>
              <w14:schemeClr w14:val="tx1"/>
            </w14:solidFill>
          </w14:textFill>
        </w:rPr>
        <w:t>。</w:t>
      </w:r>
    </w:p>
    <w:bookmarkEnd w:id="155"/>
    <w:bookmarkEnd w:id="156"/>
    <w:bookmarkEnd w:id="157"/>
    <w:bookmarkEnd w:id="158"/>
    <w:p w14:paraId="79AC1188">
      <w:pPr>
        <w:spacing w:line="360" w:lineRule="exact"/>
        <w:ind w:firstLine="437"/>
        <w:outlineLvl w:val="2"/>
        <w:rPr>
          <w:rFonts w:hint="eastAsia" w:ascii="宋体" w:hAnsi="宋体" w:eastAsia="宋体" w:cs="宋体"/>
          <w:b/>
          <w:bCs/>
          <w:color w:val="000000" w:themeColor="text1"/>
          <w:szCs w:val="21"/>
          <w14:textFill>
            <w14:solidFill>
              <w14:schemeClr w14:val="tx1"/>
            </w14:solidFill>
          </w14:textFill>
        </w:rPr>
      </w:pPr>
      <w:bookmarkStart w:id="186" w:name="_Toc12773"/>
      <w:bookmarkStart w:id="187" w:name="_Toc487900373"/>
      <w:bookmarkStart w:id="188" w:name="_Toc279701263"/>
      <w:bookmarkStart w:id="189" w:name="_Toc10330"/>
      <w:bookmarkStart w:id="190" w:name="_Toc18567"/>
      <w:bookmarkStart w:id="191" w:name="_Toc259093692"/>
      <w:r>
        <w:rPr>
          <w:rFonts w:hint="eastAsia" w:ascii="宋体" w:hAnsi="宋体" w:eastAsia="宋体" w:cs="宋体"/>
          <w:b/>
          <w:bCs/>
          <w:color w:val="000000" w:themeColor="text1"/>
          <w:szCs w:val="21"/>
          <w14:textFill>
            <w14:solidFill>
              <w14:schemeClr w14:val="tx1"/>
            </w14:solidFill>
          </w14:textFill>
        </w:rPr>
        <w:t xml:space="preserve">2.16 </w:t>
      </w:r>
      <w:r>
        <w:rPr>
          <w:rFonts w:hint="eastAsia" w:ascii="宋体" w:hAnsi="宋体" w:eastAsia="宋体" w:cs="宋体"/>
          <w:b/>
          <w:bCs/>
          <w:color w:val="000000" w:themeColor="text1"/>
          <w:szCs w:val="21"/>
          <w:lang w:val="zh-CN"/>
          <w14:textFill>
            <w14:solidFill>
              <w14:schemeClr w14:val="tx1"/>
            </w14:solidFill>
          </w14:textFill>
        </w:rPr>
        <w:t>合同使用的文字和适用的法律</w:t>
      </w:r>
      <w:bookmarkEnd w:id="186"/>
      <w:bookmarkEnd w:id="187"/>
      <w:bookmarkEnd w:id="188"/>
      <w:bookmarkEnd w:id="189"/>
      <w:bookmarkEnd w:id="190"/>
      <w:bookmarkEnd w:id="191"/>
    </w:p>
    <w:p w14:paraId="5929919B">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2.16.1合同使用汉语书写、变更和解释；</w:t>
      </w:r>
    </w:p>
    <w:p w14:paraId="2AC3C33F">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2.16.2合同适用中华人民共和国法律。</w:t>
      </w:r>
    </w:p>
    <w:p w14:paraId="33261CDB">
      <w:pPr>
        <w:spacing w:line="360" w:lineRule="exact"/>
        <w:ind w:firstLine="437"/>
        <w:outlineLvl w:val="2"/>
        <w:rPr>
          <w:rFonts w:hint="eastAsia" w:ascii="宋体" w:hAnsi="宋体" w:eastAsia="宋体" w:cs="宋体"/>
          <w:b/>
          <w:color w:val="000000" w:themeColor="text1"/>
          <w:szCs w:val="21"/>
          <w14:textFill>
            <w14:solidFill>
              <w14:schemeClr w14:val="tx1"/>
            </w14:solidFill>
          </w14:textFill>
        </w:rPr>
      </w:pPr>
      <w:bookmarkStart w:id="192" w:name="_Toc12004"/>
      <w:bookmarkStart w:id="193" w:name="_Toc3148"/>
      <w:bookmarkStart w:id="194" w:name="_Toc16673"/>
      <w:bookmarkStart w:id="195" w:name="_Toc279701264"/>
      <w:bookmarkStart w:id="196" w:name="_Toc259093693"/>
      <w:bookmarkStart w:id="197" w:name="_Toc487900374"/>
      <w:r>
        <w:rPr>
          <w:rFonts w:hint="eastAsia" w:ascii="宋体" w:hAnsi="宋体" w:eastAsia="宋体" w:cs="宋体"/>
          <w:b/>
          <w:bCs/>
          <w:color w:val="000000" w:themeColor="text1"/>
          <w:szCs w:val="21"/>
          <w:lang w:val="zh-CN"/>
          <w14:textFill>
            <w14:solidFill>
              <w14:schemeClr w14:val="tx1"/>
            </w14:solidFill>
          </w14:textFill>
        </w:rPr>
        <w:t>2.17 履约保证金</w:t>
      </w:r>
      <w:bookmarkEnd w:id="192"/>
      <w:bookmarkEnd w:id="193"/>
      <w:bookmarkEnd w:id="194"/>
      <w:bookmarkEnd w:id="195"/>
      <w:bookmarkEnd w:id="196"/>
    </w:p>
    <w:p w14:paraId="582DD6A6">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2.17.1采购文件要求乙方提交履约保证金的，乙方应按</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约定的方式，以支票、汇票、本票或者金融机构、担保机构出具的保函等非现金形式提交；</w:t>
      </w:r>
    </w:p>
    <w:p w14:paraId="71907704">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2.17.2履约保证金在</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约定期间内不予退还或者应完全有效，前述约定期间届满之日起</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个工作日内，甲方应将履约保证金退还乙方，甲方逾期退还履约保证金应承担违约责任。</w:t>
      </w:r>
    </w:p>
    <w:p w14:paraId="4E32D70D">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197"/>
    <w:p w14:paraId="0F70FEA5">
      <w:pPr>
        <w:spacing w:line="360" w:lineRule="exact"/>
        <w:ind w:firstLine="437"/>
        <w:outlineLvl w:val="2"/>
        <w:rPr>
          <w:rFonts w:hint="eastAsia" w:ascii="宋体" w:hAnsi="宋体" w:eastAsia="宋体" w:cs="宋体"/>
          <w:b/>
          <w:color w:val="000000" w:themeColor="text1"/>
          <w:szCs w:val="21"/>
          <w14:textFill>
            <w14:solidFill>
              <w14:schemeClr w14:val="tx1"/>
            </w14:solidFill>
          </w14:textFill>
        </w:rPr>
      </w:pPr>
      <w:bookmarkStart w:id="198" w:name="_Toc19890"/>
      <w:bookmarkStart w:id="199" w:name="_Toc6885"/>
      <w:bookmarkStart w:id="200" w:name="_Toc14001"/>
      <w:r>
        <w:rPr>
          <w:rFonts w:hint="eastAsia" w:ascii="宋体" w:hAnsi="宋体" w:eastAsia="宋体" w:cs="宋体"/>
          <w:b/>
          <w:bCs/>
          <w:color w:val="000000" w:themeColor="text1"/>
          <w:szCs w:val="21"/>
          <w:lang w:val="zh-CN"/>
          <w14:textFill>
            <w14:solidFill>
              <w14:schemeClr w14:val="tx1"/>
            </w14:solidFill>
          </w14:textFill>
        </w:rPr>
        <w:t>2.18 合同份数</w:t>
      </w:r>
      <w:bookmarkEnd w:id="198"/>
      <w:bookmarkEnd w:id="199"/>
      <w:bookmarkEnd w:id="200"/>
    </w:p>
    <w:p w14:paraId="7CE5A926">
      <w:pPr>
        <w:spacing w:line="36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合同份数按</w:t>
      </w:r>
      <w:r>
        <w:rPr>
          <w:rFonts w:hint="eastAsia" w:ascii="宋体" w:hAnsi="宋体" w:eastAsia="宋体" w:cs="宋体"/>
          <w:b/>
          <w:i/>
          <w:color w:val="000000" w:themeColor="text1"/>
          <w:szCs w:val="21"/>
          <w:u w:val="single"/>
          <w14:textFill>
            <w14:solidFill>
              <w14:schemeClr w14:val="tx1"/>
            </w14:solidFill>
          </w14:textFill>
        </w:rPr>
        <w:t>合同专用条款</w:t>
      </w:r>
      <w:r>
        <w:rPr>
          <w:rFonts w:hint="eastAsia" w:ascii="宋体" w:hAnsi="宋体" w:eastAsia="宋体" w:cs="宋体"/>
          <w:color w:val="000000" w:themeColor="text1"/>
          <w:szCs w:val="21"/>
          <w14:textFill>
            <w14:solidFill>
              <w14:schemeClr w14:val="tx1"/>
            </w14:solidFill>
          </w14:textFill>
        </w:rPr>
        <w:t>规定，每份均具有同等法律效力。</w:t>
      </w:r>
    </w:p>
    <w:p w14:paraId="11971344">
      <w:pPr>
        <w:spacing w:line="400" w:lineRule="exact"/>
        <w:jc w:val="center"/>
        <w:outlineLvl w:val="1"/>
        <w:rPr>
          <w:rFonts w:hint="eastAsia" w:ascii="宋体" w:hAnsi="宋体" w:eastAsia="宋体" w:cs="宋体"/>
          <w:b/>
          <w:color w:val="000000" w:themeColor="text1"/>
          <w:szCs w:val="21"/>
          <w14:textFill>
            <w14:solidFill>
              <w14:schemeClr w14:val="tx1"/>
            </w14:solidFill>
          </w14:textFill>
        </w:rPr>
      </w:pPr>
      <w:bookmarkStart w:id="201" w:name="_Toc3736"/>
    </w:p>
    <w:p w14:paraId="6BCABFF0">
      <w:pPr>
        <w:spacing w:line="400" w:lineRule="exact"/>
        <w:jc w:val="center"/>
        <w:outlineLvl w:val="1"/>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第三部分 合同专用条款</w:t>
      </w:r>
      <w:bookmarkEnd w:id="201"/>
    </w:p>
    <w:p w14:paraId="5C3248C8">
      <w:pPr>
        <w:spacing w:line="400" w:lineRule="exact"/>
        <w:ind w:firstLine="4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8"/>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23257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101EFE65">
            <w:pPr>
              <w:spacing w:line="400" w:lineRule="exact"/>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条款号</w:t>
            </w:r>
          </w:p>
        </w:tc>
        <w:tc>
          <w:tcPr>
            <w:tcW w:w="7568" w:type="dxa"/>
            <w:vAlign w:val="center"/>
          </w:tcPr>
          <w:p w14:paraId="10122516">
            <w:pPr>
              <w:spacing w:line="400" w:lineRule="exact"/>
              <w:jc w:val="center"/>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约定内容</w:t>
            </w:r>
          </w:p>
        </w:tc>
      </w:tr>
      <w:tr w14:paraId="4016B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0A8A29F">
            <w:pPr>
              <w:spacing w:line="400" w:lineRule="exact"/>
              <w:jc w:val="center"/>
              <w:rPr>
                <w:rFonts w:hint="eastAsia" w:ascii="宋体" w:hAnsi="宋体" w:eastAsia="宋体" w:cs="宋体"/>
                <w:color w:val="000000" w:themeColor="text1"/>
                <w:szCs w:val="21"/>
                <w14:textFill>
                  <w14:solidFill>
                    <w14:schemeClr w14:val="tx1"/>
                  </w14:solidFill>
                </w14:textFill>
              </w:rPr>
            </w:pPr>
          </w:p>
        </w:tc>
        <w:tc>
          <w:tcPr>
            <w:tcW w:w="7568" w:type="dxa"/>
            <w:vAlign w:val="center"/>
          </w:tcPr>
          <w:p w14:paraId="1073A893">
            <w:pPr>
              <w:spacing w:line="400" w:lineRule="exact"/>
              <w:rPr>
                <w:rFonts w:hint="eastAsia" w:ascii="宋体" w:hAnsi="宋体" w:eastAsia="宋体" w:cs="宋体"/>
                <w:color w:val="000000" w:themeColor="text1"/>
                <w:szCs w:val="21"/>
                <w14:textFill>
                  <w14:solidFill>
                    <w14:schemeClr w14:val="tx1"/>
                  </w14:solidFill>
                </w14:textFill>
              </w:rPr>
            </w:pPr>
          </w:p>
        </w:tc>
      </w:tr>
      <w:tr w14:paraId="22337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295968D">
            <w:pPr>
              <w:spacing w:line="400" w:lineRule="exact"/>
              <w:jc w:val="center"/>
              <w:rPr>
                <w:rFonts w:hint="eastAsia" w:ascii="宋体" w:hAnsi="宋体" w:eastAsia="宋体" w:cs="宋体"/>
                <w:color w:val="000000" w:themeColor="text1"/>
                <w:szCs w:val="21"/>
                <w14:textFill>
                  <w14:solidFill>
                    <w14:schemeClr w14:val="tx1"/>
                  </w14:solidFill>
                </w14:textFill>
              </w:rPr>
            </w:pPr>
          </w:p>
        </w:tc>
        <w:tc>
          <w:tcPr>
            <w:tcW w:w="7568" w:type="dxa"/>
            <w:vAlign w:val="center"/>
          </w:tcPr>
          <w:p w14:paraId="7FBD74B6">
            <w:pPr>
              <w:spacing w:line="400" w:lineRule="exact"/>
              <w:rPr>
                <w:rFonts w:hint="eastAsia" w:ascii="宋体" w:hAnsi="宋体" w:eastAsia="宋体" w:cs="宋体"/>
                <w:color w:val="000000" w:themeColor="text1"/>
                <w:szCs w:val="21"/>
                <w14:textFill>
                  <w14:solidFill>
                    <w14:schemeClr w14:val="tx1"/>
                  </w14:solidFill>
                </w14:textFill>
              </w:rPr>
            </w:pPr>
          </w:p>
        </w:tc>
      </w:tr>
      <w:tr w14:paraId="4F48C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AF56CC8">
            <w:pPr>
              <w:spacing w:line="400" w:lineRule="exact"/>
              <w:jc w:val="center"/>
              <w:rPr>
                <w:rFonts w:hint="eastAsia" w:ascii="宋体" w:hAnsi="宋体" w:eastAsia="宋体" w:cs="宋体"/>
                <w:color w:val="000000" w:themeColor="text1"/>
                <w:szCs w:val="21"/>
                <w14:textFill>
                  <w14:solidFill>
                    <w14:schemeClr w14:val="tx1"/>
                  </w14:solidFill>
                </w14:textFill>
              </w:rPr>
            </w:pPr>
          </w:p>
        </w:tc>
        <w:tc>
          <w:tcPr>
            <w:tcW w:w="7568" w:type="dxa"/>
            <w:vAlign w:val="center"/>
          </w:tcPr>
          <w:p w14:paraId="245AED27">
            <w:pPr>
              <w:spacing w:line="400" w:lineRule="exact"/>
              <w:rPr>
                <w:rFonts w:hint="eastAsia" w:ascii="宋体" w:hAnsi="宋体" w:eastAsia="宋体" w:cs="宋体"/>
                <w:color w:val="000000" w:themeColor="text1"/>
                <w:szCs w:val="21"/>
                <w:u w:val="single"/>
                <w14:textFill>
                  <w14:solidFill>
                    <w14:schemeClr w14:val="tx1"/>
                  </w14:solidFill>
                </w14:textFill>
              </w:rPr>
            </w:pPr>
          </w:p>
        </w:tc>
      </w:tr>
      <w:tr w14:paraId="6349D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661A03F">
            <w:pPr>
              <w:spacing w:line="400" w:lineRule="exact"/>
              <w:jc w:val="center"/>
              <w:rPr>
                <w:rFonts w:hint="eastAsia" w:ascii="宋体" w:hAnsi="宋体" w:eastAsia="宋体" w:cs="宋体"/>
                <w:color w:val="000000" w:themeColor="text1"/>
                <w:szCs w:val="21"/>
                <w14:textFill>
                  <w14:solidFill>
                    <w14:schemeClr w14:val="tx1"/>
                  </w14:solidFill>
                </w14:textFill>
              </w:rPr>
            </w:pPr>
          </w:p>
        </w:tc>
        <w:tc>
          <w:tcPr>
            <w:tcW w:w="7568" w:type="dxa"/>
            <w:vAlign w:val="center"/>
          </w:tcPr>
          <w:p w14:paraId="5A4D51D9">
            <w:pPr>
              <w:spacing w:line="400" w:lineRule="exact"/>
              <w:rPr>
                <w:rFonts w:hint="eastAsia" w:ascii="宋体" w:hAnsi="宋体" w:eastAsia="宋体" w:cs="宋体"/>
                <w:color w:val="000000" w:themeColor="text1"/>
                <w:szCs w:val="21"/>
                <w14:textFill>
                  <w14:solidFill>
                    <w14:schemeClr w14:val="tx1"/>
                  </w14:solidFill>
                </w14:textFill>
              </w:rPr>
            </w:pPr>
          </w:p>
        </w:tc>
      </w:tr>
    </w:tbl>
    <w:p w14:paraId="23DD5737">
      <w:pPr>
        <w:widowControl/>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br w:type="page"/>
      </w:r>
    </w:p>
    <w:bookmarkEnd w:id="58"/>
    <w:p w14:paraId="7D679DE9">
      <w:pPr>
        <w:spacing w:line="360" w:lineRule="auto"/>
        <w:jc w:val="center"/>
        <w:outlineLvl w:val="0"/>
        <w:rPr>
          <w:rFonts w:hint="eastAsia" w:ascii="宋体" w:hAnsi="宋体" w:eastAsia="宋体" w:cs="宋体"/>
          <w:b/>
          <w:color w:val="000000" w:themeColor="text1"/>
          <w:sz w:val="28"/>
          <w14:textFill>
            <w14:solidFill>
              <w14:schemeClr w14:val="tx1"/>
            </w14:solidFill>
          </w14:textFill>
        </w:rPr>
      </w:pPr>
      <w:bookmarkStart w:id="202" w:name="_Toc13555"/>
      <w:r>
        <w:rPr>
          <w:rFonts w:hint="eastAsia" w:ascii="宋体" w:hAnsi="宋体" w:eastAsia="宋体" w:cs="宋体"/>
          <w:b/>
          <w:color w:val="000000" w:themeColor="text1"/>
          <w:sz w:val="28"/>
          <w14:textFill>
            <w14:solidFill>
              <w14:schemeClr w14:val="tx1"/>
            </w14:solidFill>
          </w14:textFill>
        </w:rPr>
        <w:t>第六章  投标文件格式</w:t>
      </w:r>
      <w:bookmarkEnd w:id="202"/>
    </w:p>
    <w:p w14:paraId="0B21F80C">
      <w:pPr>
        <w:spacing w:line="900" w:lineRule="exact"/>
        <w:jc w:val="center"/>
        <w:rPr>
          <w:rFonts w:hint="eastAsia" w:ascii="宋体" w:hAnsi="宋体" w:eastAsia="宋体" w:cs="宋体"/>
          <w:b/>
          <w:color w:val="000000" w:themeColor="text1"/>
          <w:sz w:val="72"/>
          <w14:textFill>
            <w14:solidFill>
              <w14:schemeClr w14:val="tx1"/>
            </w14:solidFill>
          </w14:textFill>
        </w:rPr>
      </w:pPr>
    </w:p>
    <w:p w14:paraId="31359656">
      <w:pPr>
        <w:rPr>
          <w:rFonts w:hint="eastAsia" w:ascii="宋体" w:hAnsi="宋体" w:eastAsia="宋体" w:cs="宋体"/>
          <w:b/>
          <w:color w:val="000000" w:themeColor="text1"/>
          <w:sz w:val="28"/>
          <w:szCs w:val="28"/>
          <w:bdr w:val="single" w:color="000000" w:sz="4" w:space="0"/>
          <w14:textFill>
            <w14:solidFill>
              <w14:schemeClr w14:val="tx1"/>
            </w14:solidFill>
          </w14:textFill>
        </w:rPr>
      </w:pPr>
      <w:bookmarkStart w:id="203" w:name="_Toc28960"/>
      <w:bookmarkStart w:id="204" w:name="_Toc17986"/>
      <w:r>
        <w:rPr>
          <w:rFonts w:hint="eastAsia" w:ascii="宋体" w:hAnsi="宋体" w:eastAsia="宋体" w:cs="宋体"/>
          <w:b/>
          <w:color w:val="000000" w:themeColor="text1"/>
          <w:sz w:val="28"/>
          <w:szCs w:val="28"/>
          <w14:textFill>
            <w14:solidFill>
              <w14:schemeClr w14:val="tx1"/>
            </w14:solidFill>
          </w14:textFill>
        </w:rPr>
        <w:t>一、资信证明格式文件</w:t>
      </w:r>
    </w:p>
    <w:p w14:paraId="6FD540FF">
      <w:pPr>
        <w:jc w:val="center"/>
        <w:rPr>
          <w:rFonts w:hint="eastAsia" w:ascii="宋体" w:hAnsi="宋体" w:eastAsia="宋体" w:cs="宋体"/>
          <w:color w:val="000000" w:themeColor="text1"/>
          <w:sz w:val="20"/>
          <w14:textFill>
            <w14:solidFill>
              <w14:schemeClr w14:val="tx1"/>
            </w14:solidFill>
          </w14:textFill>
        </w:rPr>
      </w:pPr>
    </w:p>
    <w:p w14:paraId="632B7C15">
      <w:pPr>
        <w:rPr>
          <w:rFonts w:hint="eastAsia" w:ascii="宋体" w:hAnsi="宋体" w:eastAsia="宋体" w:cs="宋体"/>
          <w:color w:val="000000" w:themeColor="text1"/>
          <w:sz w:val="20"/>
          <w14:textFill>
            <w14:solidFill>
              <w14:schemeClr w14:val="tx1"/>
            </w14:solidFill>
          </w14:textFill>
        </w:rPr>
      </w:pPr>
    </w:p>
    <w:p w14:paraId="16441ECD">
      <w:pPr>
        <w:jc w:val="center"/>
        <w:rPr>
          <w:rFonts w:hint="eastAsia" w:ascii="宋体" w:hAnsi="宋体" w:eastAsia="宋体" w:cs="宋体"/>
          <w:b/>
          <w:color w:val="000000" w:themeColor="text1"/>
          <w:sz w:val="44"/>
          <w:szCs w:val="44"/>
          <w14:textFill>
            <w14:solidFill>
              <w14:schemeClr w14:val="tx1"/>
            </w14:solidFill>
          </w14:textFill>
        </w:rPr>
      </w:pPr>
      <w:bookmarkStart w:id="205" w:name="_Toc350698753"/>
      <w:bookmarkStart w:id="206" w:name="_Toc449028949"/>
      <w:r>
        <w:rPr>
          <w:rFonts w:hint="eastAsia" w:ascii="宋体" w:hAnsi="宋体" w:eastAsia="宋体" w:cs="宋体"/>
          <w:b/>
          <w:color w:val="000000" w:themeColor="text1"/>
          <w:sz w:val="44"/>
          <w:szCs w:val="44"/>
          <w14:textFill>
            <w14:solidFill>
              <w14:schemeClr w14:val="tx1"/>
            </w14:solidFill>
          </w14:textFill>
        </w:rPr>
        <w:t>资信证明文件</w:t>
      </w:r>
      <w:bookmarkEnd w:id="205"/>
      <w:bookmarkEnd w:id="206"/>
    </w:p>
    <w:p w14:paraId="4E5E6AE6">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（投标文件一）</w:t>
      </w:r>
    </w:p>
    <w:p w14:paraId="1737DDE3">
      <w:pPr>
        <w:jc w:val="center"/>
        <w:rPr>
          <w:rFonts w:hint="eastAsia" w:ascii="宋体" w:hAnsi="宋体" w:eastAsia="宋体" w:cs="宋体"/>
          <w:color w:val="000000" w:themeColor="text1"/>
          <w:sz w:val="44"/>
          <w:szCs w:val="44"/>
          <w14:textFill>
            <w14:solidFill>
              <w14:schemeClr w14:val="tx1"/>
            </w14:solidFill>
          </w14:textFill>
        </w:rPr>
      </w:pPr>
    </w:p>
    <w:p w14:paraId="55480942">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single"/>
          <w14:textFill>
            <w14:solidFill>
              <w14:schemeClr w14:val="tx1"/>
            </w14:solidFill>
          </w14:textFill>
        </w:rPr>
        <w:t xml:space="preserve">        </w:t>
      </w:r>
      <w:r>
        <w:rPr>
          <w:rFonts w:hint="eastAsia" w:ascii="宋体" w:hAnsi="宋体" w:eastAsia="宋体" w:cs="宋体"/>
          <w:color w:val="000000" w:themeColor="text1"/>
          <w:sz w:val="32"/>
          <w:szCs w:val="32"/>
          <w14:textFill>
            <w14:solidFill>
              <w14:schemeClr w14:val="tx1"/>
            </w14:solidFill>
          </w14:textFill>
        </w:rPr>
        <w:t>项目</w:t>
      </w:r>
    </w:p>
    <w:p w14:paraId="479800DE">
      <w:pPr>
        <w:rPr>
          <w:rFonts w:hint="eastAsia" w:ascii="宋体" w:hAnsi="宋体" w:eastAsia="宋体" w:cs="宋体"/>
          <w:color w:val="000000" w:themeColor="text1"/>
          <w:sz w:val="28"/>
          <w:szCs w:val="28"/>
          <w14:textFill>
            <w14:solidFill>
              <w14:schemeClr w14:val="tx1"/>
            </w14:solidFill>
          </w14:textFill>
        </w:rPr>
      </w:pPr>
    </w:p>
    <w:p w14:paraId="2D6620F6">
      <w:pPr>
        <w:rPr>
          <w:rFonts w:hint="eastAsia" w:ascii="宋体" w:hAnsi="宋体" w:eastAsia="宋体" w:cs="宋体"/>
          <w:color w:val="000000" w:themeColor="text1"/>
          <w:sz w:val="28"/>
          <w:szCs w:val="28"/>
          <w14:textFill>
            <w14:solidFill>
              <w14:schemeClr w14:val="tx1"/>
            </w14:solidFill>
          </w14:textFill>
        </w:rPr>
      </w:pPr>
    </w:p>
    <w:p w14:paraId="420B4ED0">
      <w:pPr>
        <w:rPr>
          <w:rFonts w:hint="eastAsia" w:ascii="宋体" w:hAnsi="宋体" w:eastAsia="宋体" w:cs="宋体"/>
          <w:color w:val="000000" w:themeColor="text1"/>
          <w:sz w:val="28"/>
          <w:szCs w:val="28"/>
          <w14:textFill>
            <w14:solidFill>
              <w14:schemeClr w14:val="tx1"/>
            </w14:solidFill>
          </w14:textFill>
        </w:rPr>
      </w:pPr>
    </w:p>
    <w:p w14:paraId="46DB6C69">
      <w:pPr>
        <w:rPr>
          <w:rFonts w:hint="eastAsia" w:ascii="宋体" w:hAnsi="宋体" w:eastAsia="宋体" w:cs="宋体"/>
          <w:color w:val="000000" w:themeColor="text1"/>
          <w:sz w:val="28"/>
          <w:szCs w:val="28"/>
          <w14:textFill>
            <w14:solidFill>
              <w14:schemeClr w14:val="tx1"/>
            </w14:solidFill>
          </w14:textFill>
        </w:rPr>
      </w:pPr>
    </w:p>
    <w:p w14:paraId="6ADAD2BB">
      <w:pPr>
        <w:rPr>
          <w:rFonts w:hint="eastAsia" w:ascii="宋体" w:hAnsi="宋体" w:eastAsia="宋体" w:cs="宋体"/>
          <w:color w:val="000000" w:themeColor="text1"/>
          <w:sz w:val="28"/>
          <w:szCs w:val="28"/>
          <w14:textFill>
            <w14:solidFill>
              <w14:schemeClr w14:val="tx1"/>
            </w14:solidFill>
          </w14:textFill>
        </w:rPr>
      </w:pPr>
    </w:p>
    <w:p w14:paraId="67D340EC">
      <w:pPr>
        <w:rPr>
          <w:rFonts w:hint="eastAsia" w:ascii="宋体" w:hAnsi="宋体" w:eastAsia="宋体" w:cs="宋体"/>
          <w:color w:val="000000" w:themeColor="text1"/>
          <w:sz w:val="28"/>
          <w:szCs w:val="28"/>
          <w14:textFill>
            <w14:solidFill>
              <w14:schemeClr w14:val="tx1"/>
            </w14:solidFill>
          </w14:textFill>
        </w:rPr>
      </w:pPr>
    </w:p>
    <w:p w14:paraId="2E6E9AA4">
      <w:pPr>
        <w:rPr>
          <w:rFonts w:hint="eastAsia" w:ascii="宋体" w:hAnsi="宋体" w:eastAsia="宋体" w:cs="宋体"/>
          <w:color w:val="000000" w:themeColor="text1"/>
          <w:sz w:val="28"/>
          <w:szCs w:val="28"/>
          <w14:textFill>
            <w14:solidFill>
              <w14:schemeClr w14:val="tx1"/>
            </w14:solidFill>
          </w14:textFill>
        </w:rPr>
      </w:pPr>
    </w:p>
    <w:p w14:paraId="642F578C">
      <w:pPr>
        <w:jc w:val="cente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投标人：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（盖章）</w:t>
      </w:r>
    </w:p>
    <w:p w14:paraId="073E8B20">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（签字或盖章）</w:t>
      </w:r>
    </w:p>
    <w:p w14:paraId="056C085F">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日</w:t>
      </w:r>
    </w:p>
    <w:p w14:paraId="1C89CB67">
      <w:pPr>
        <w:spacing w:line="720" w:lineRule="auto"/>
        <w:jc w:val="center"/>
        <w:rPr>
          <w:rFonts w:hint="eastAsia" w:ascii="宋体" w:hAnsi="宋体" w:eastAsia="宋体" w:cs="宋体"/>
          <w:b/>
          <w:color w:val="000000" w:themeColor="text1"/>
          <w:sz w:val="36"/>
          <w:szCs w:val="36"/>
          <w14:textFill>
            <w14:solidFill>
              <w14:schemeClr w14:val="tx1"/>
            </w14:solidFill>
          </w14:textFill>
        </w:rPr>
      </w:pPr>
    </w:p>
    <w:p w14:paraId="6D4CEC4E">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3B126DE3">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4D0E798D">
      <w:pPr>
        <w:pageBreakBefore/>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目   录</w:t>
      </w:r>
    </w:p>
    <w:p w14:paraId="3F59F921">
      <w:pPr>
        <w:spacing w:line="440" w:lineRule="exact"/>
        <w:rPr>
          <w:rFonts w:hint="eastAsia" w:ascii="宋体" w:hAnsi="宋体" w:eastAsia="宋体" w:cs="宋体"/>
          <w:color w:val="000000" w:themeColor="text1"/>
          <w:sz w:val="24"/>
          <w:szCs w:val="24"/>
          <w14:textFill>
            <w14:solidFill>
              <w14:schemeClr w14:val="tx1"/>
            </w14:solidFill>
          </w14:textFill>
        </w:rPr>
      </w:pPr>
    </w:p>
    <w:p w14:paraId="79B737D5">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（1）投标人资格声明书（格式见附件）；</w:t>
      </w:r>
    </w:p>
    <w:p w14:paraId="04E5E636">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（2）授权书（格式见附件）；   </w:t>
      </w:r>
    </w:p>
    <w:p w14:paraId="02BD549A">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（3）投标人为企业（包括合伙企业）的，应提供有效的“营业执照”；</w:t>
      </w:r>
    </w:p>
    <w:p w14:paraId="34634727">
      <w:pPr>
        <w:spacing w:line="44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投标人为事业单位的，应提供有效的“事业单位法人证书”；</w:t>
      </w:r>
    </w:p>
    <w:p w14:paraId="5FAD6747">
      <w:pPr>
        <w:spacing w:line="44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投标人是非企业机构的，应提供有效的“执业许可证”“登记证书”等证明文件；</w:t>
      </w:r>
    </w:p>
    <w:p w14:paraId="1A6003E9">
      <w:pPr>
        <w:spacing w:line="44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投标人是个体工商户的，应提供有效的“个体工商户营业执照”；</w:t>
      </w:r>
    </w:p>
    <w:p w14:paraId="7082B172">
      <w:pPr>
        <w:spacing w:line="44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投标人是自然人的，应提供有效的自然人身份证明；</w:t>
      </w:r>
    </w:p>
    <w:p w14:paraId="60DE5E45">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（4）诚信投标承诺书（格式见附件）；</w:t>
      </w:r>
    </w:p>
    <w:p w14:paraId="4DD360A5">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（5）诚信履约承诺函（格式见附件）；</w:t>
      </w:r>
    </w:p>
    <w:p w14:paraId="412F8324">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（6）投标人认为需要提供的资信评分及其他资信证明材料。</w:t>
      </w:r>
    </w:p>
    <w:p w14:paraId="56C6D6D1">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bookmarkStart w:id="207" w:name="_Toc18881"/>
      <w:r>
        <w:rPr>
          <w:rFonts w:hint="eastAsia" w:ascii="宋体" w:hAnsi="宋体" w:eastAsia="宋体" w:cs="宋体"/>
          <w:b/>
          <w:color w:val="000000" w:themeColor="text1"/>
          <w:sz w:val="28"/>
          <w:szCs w:val="28"/>
          <w14:textFill>
            <w14:solidFill>
              <w14:schemeClr w14:val="tx1"/>
            </w14:solidFill>
          </w14:textFill>
        </w:rPr>
        <w:t>（1）投标人资格声明书</w:t>
      </w:r>
      <w:bookmarkEnd w:id="207"/>
      <w:r>
        <w:rPr>
          <w:rFonts w:hint="eastAsia" w:ascii="宋体" w:hAnsi="宋体" w:eastAsia="宋体" w:cs="宋体"/>
          <w:b/>
          <w:color w:val="000000" w:themeColor="text1"/>
          <w:sz w:val="28"/>
          <w:szCs w:val="28"/>
          <w14:textFill>
            <w14:solidFill>
              <w14:schemeClr w14:val="tx1"/>
            </w14:solidFill>
          </w14:textFill>
        </w:rPr>
        <w:t xml:space="preserve"> </w:t>
      </w:r>
    </w:p>
    <w:p w14:paraId="252BE87E">
      <w:pPr>
        <w:pStyle w:val="13"/>
        <w:spacing w:line="44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致：</w:t>
      </w:r>
      <w:r>
        <w:rPr>
          <w:rFonts w:hint="eastAsia" w:ascii="宋体" w:hAnsi="宋体" w:cs="宋体"/>
          <w:color w:val="000000" w:themeColor="text1"/>
          <w:sz w:val="24"/>
          <w:u w:val="single"/>
          <w14:textFill>
            <w14:solidFill>
              <w14:schemeClr w14:val="tx1"/>
            </w14:solidFill>
          </w14:textFill>
        </w:rPr>
        <w:t>采购人</w:t>
      </w:r>
    </w:p>
    <w:p w14:paraId="2082F813">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在参与本次项目投标中，我单位承诺：</w:t>
      </w:r>
    </w:p>
    <w:p w14:paraId="5B73C39F">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（一）具有良好的商业信誉和健全的财务会计制度；</w:t>
      </w:r>
    </w:p>
    <w:p w14:paraId="032498FC">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（二）具有履行合同所必需的设备和专业技术能力；</w:t>
      </w:r>
    </w:p>
    <w:p w14:paraId="2E0DB671">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（三）有依法缴纳税收和社会保障资金的良好记录；</w:t>
      </w:r>
    </w:p>
    <w:p w14:paraId="5F1CDE0D">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7F70C3">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 xml:space="preserve">（五）我单位不属于政府采购法律、行政法规规定的公益一类事业单位或使用事业编制且由财政拨款保障的群团组织（仅适用于政府购买服务项目）； </w:t>
      </w:r>
    </w:p>
    <w:p w14:paraId="4115D317">
      <w:pPr>
        <w:widowControl/>
        <w:spacing w:line="440" w:lineRule="exact"/>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7D4FE2B5">
      <w:pPr>
        <w:widowControl/>
        <w:spacing w:line="440" w:lineRule="exact"/>
        <w:ind w:firstLine="480" w:firstLineChars="200"/>
        <w:jc w:val="left"/>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7309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CB93349">
            <w:pPr>
              <w:widowControl/>
              <w:spacing w:before="156" w:beforeLines="50" w:after="10" w:line="440" w:lineRule="exact"/>
              <w:jc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序号</w:t>
            </w:r>
          </w:p>
        </w:tc>
        <w:tc>
          <w:tcPr>
            <w:tcW w:w="2841" w:type="dxa"/>
          </w:tcPr>
          <w:p w14:paraId="67F16955">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r>
              <w:rPr>
                <w:rFonts w:hint="eastAsia" w:ascii="宋体" w:hAnsi="宋体" w:eastAsia="宋体" w:cs="宋体"/>
                <w:color w:val="000000" w:themeColor="text1"/>
                <w:kern w:val="0"/>
                <w:sz w:val="24"/>
                <w:lang w:val="en-US" w:bidi="ar"/>
                <w14:textFill>
                  <w14:solidFill>
                    <w14:schemeClr w14:val="tx1"/>
                  </w14:solidFill>
                </w14:textFill>
              </w:rPr>
              <w:t>单位名称</w:t>
            </w:r>
          </w:p>
        </w:tc>
        <w:tc>
          <w:tcPr>
            <w:tcW w:w="2841" w:type="dxa"/>
          </w:tcPr>
          <w:p w14:paraId="3362DEC9">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r>
              <w:rPr>
                <w:rFonts w:hint="eastAsia" w:ascii="宋体" w:hAnsi="宋体" w:eastAsia="宋体" w:cs="宋体"/>
                <w:color w:val="000000" w:themeColor="text1"/>
                <w:kern w:val="0"/>
                <w:sz w:val="24"/>
                <w:lang w:val="en-US" w:bidi="ar"/>
                <w14:textFill>
                  <w14:solidFill>
                    <w14:schemeClr w14:val="tx1"/>
                  </w14:solidFill>
                </w14:textFill>
              </w:rPr>
              <w:t>相互关系</w:t>
            </w:r>
          </w:p>
        </w:tc>
      </w:tr>
      <w:tr w14:paraId="09E7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F25D2C">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r>
              <w:rPr>
                <w:rFonts w:hint="eastAsia" w:ascii="宋体" w:hAnsi="宋体" w:eastAsia="宋体" w:cs="宋体"/>
                <w:color w:val="000000" w:themeColor="text1"/>
                <w:kern w:val="0"/>
                <w:sz w:val="24"/>
                <w:lang w:val="en-US" w:bidi="ar"/>
                <w14:textFill>
                  <w14:solidFill>
                    <w14:schemeClr w14:val="tx1"/>
                  </w14:solidFill>
                </w14:textFill>
              </w:rPr>
              <w:t>1</w:t>
            </w:r>
          </w:p>
        </w:tc>
        <w:tc>
          <w:tcPr>
            <w:tcW w:w="2841" w:type="dxa"/>
          </w:tcPr>
          <w:p w14:paraId="59ED452A">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p>
        </w:tc>
        <w:tc>
          <w:tcPr>
            <w:tcW w:w="2841" w:type="dxa"/>
          </w:tcPr>
          <w:p w14:paraId="7E833079">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p>
        </w:tc>
      </w:tr>
      <w:tr w14:paraId="43E4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4D075C8">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r>
              <w:rPr>
                <w:rFonts w:hint="eastAsia" w:ascii="宋体" w:hAnsi="宋体" w:eastAsia="宋体" w:cs="宋体"/>
                <w:color w:val="000000" w:themeColor="text1"/>
                <w:kern w:val="0"/>
                <w:sz w:val="24"/>
                <w:lang w:val="en-US" w:bidi="ar"/>
                <w14:textFill>
                  <w14:solidFill>
                    <w14:schemeClr w14:val="tx1"/>
                  </w14:solidFill>
                </w14:textFill>
              </w:rPr>
              <w:t>2</w:t>
            </w:r>
          </w:p>
        </w:tc>
        <w:tc>
          <w:tcPr>
            <w:tcW w:w="2841" w:type="dxa"/>
          </w:tcPr>
          <w:p w14:paraId="1C4332C1">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p>
        </w:tc>
        <w:tc>
          <w:tcPr>
            <w:tcW w:w="2841" w:type="dxa"/>
          </w:tcPr>
          <w:p w14:paraId="58FED953">
            <w:pPr>
              <w:pStyle w:val="9"/>
              <w:spacing w:before="156" w:beforeLines="50" w:after="10" w:line="440" w:lineRule="exact"/>
              <w:jc w:val="center"/>
              <w:rPr>
                <w:rFonts w:hint="eastAsia" w:ascii="宋体" w:hAnsi="宋体" w:eastAsia="宋体" w:cs="宋体"/>
                <w:color w:val="000000" w:themeColor="text1"/>
                <w:kern w:val="0"/>
                <w:sz w:val="24"/>
                <w:lang w:val="en-US" w:bidi="ar"/>
                <w14:textFill>
                  <w14:solidFill>
                    <w14:schemeClr w14:val="tx1"/>
                  </w14:solidFill>
                </w14:textFill>
              </w:rPr>
            </w:pPr>
          </w:p>
        </w:tc>
      </w:tr>
    </w:tbl>
    <w:p w14:paraId="21212C79">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本单位对上述声明的真实性负责。如有虚假，将依法承担相应责任。</w:t>
      </w:r>
    </w:p>
    <w:p w14:paraId="10B3EE22">
      <w:pPr>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p>
    <w:p w14:paraId="61C34F76">
      <w:pPr>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p>
    <w:p w14:paraId="1CCC5C27">
      <w:pPr>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投标人盖章：</w:t>
      </w:r>
      <w:r>
        <w:rPr>
          <w:rFonts w:hint="eastAsia" w:ascii="宋体" w:hAnsi="宋体" w:eastAsia="宋体" w:cs="宋体"/>
          <w:color w:val="000000" w:themeColor="text1"/>
          <w:sz w:val="24"/>
          <w:u w:val="single"/>
          <w14:textFill>
            <w14:solidFill>
              <w14:schemeClr w14:val="tx1"/>
            </w14:solidFill>
          </w14:textFill>
        </w:rPr>
        <w:t xml:space="preserve">             </w:t>
      </w:r>
    </w:p>
    <w:p w14:paraId="66F8086D">
      <w:pPr>
        <w:tabs>
          <w:tab w:val="left" w:pos="630"/>
        </w:tabs>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日      期：</w:t>
      </w:r>
      <w:r>
        <w:rPr>
          <w:rFonts w:hint="eastAsia" w:ascii="宋体" w:hAnsi="宋体" w:eastAsia="宋体" w:cs="宋体"/>
          <w:color w:val="000000" w:themeColor="text1"/>
          <w:sz w:val="24"/>
          <w:u w:val="single"/>
          <w14:textFill>
            <w14:solidFill>
              <w14:schemeClr w14:val="tx1"/>
            </w14:solidFill>
          </w14:textFill>
        </w:rPr>
        <w:t xml:space="preserve">             </w:t>
      </w:r>
    </w:p>
    <w:p w14:paraId="546829A5">
      <w:pPr>
        <w:spacing w:line="440" w:lineRule="exact"/>
        <w:rPr>
          <w:rFonts w:hint="eastAsia" w:ascii="宋体" w:hAnsi="宋体" w:eastAsia="宋体" w:cs="宋体"/>
          <w:b/>
          <w:color w:val="000000" w:themeColor="text1"/>
          <w:sz w:val="24"/>
          <w14:textFill>
            <w14:solidFill>
              <w14:schemeClr w14:val="tx1"/>
            </w14:solidFill>
          </w14:textFill>
        </w:rPr>
      </w:pPr>
      <w:bookmarkStart w:id="208" w:name="_Toc11607"/>
      <w:r>
        <w:rPr>
          <w:rFonts w:hint="eastAsia" w:ascii="宋体" w:hAnsi="宋体" w:eastAsia="宋体" w:cs="宋体"/>
          <w:b/>
          <w:color w:val="000000" w:themeColor="text1"/>
          <w:sz w:val="24"/>
          <w14:textFill>
            <w14:solidFill>
              <w14:schemeClr w14:val="tx1"/>
            </w14:solidFill>
          </w14:textFill>
        </w:rPr>
        <w:br w:type="page"/>
      </w:r>
    </w:p>
    <w:p w14:paraId="3B1275EF">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bookmarkStart w:id="209" w:name="_Toc24583"/>
      <w:r>
        <w:rPr>
          <w:rFonts w:hint="eastAsia" w:ascii="宋体" w:hAnsi="宋体" w:eastAsia="宋体" w:cs="宋体"/>
          <w:b/>
          <w:color w:val="000000" w:themeColor="text1"/>
          <w:sz w:val="28"/>
          <w:szCs w:val="28"/>
          <w14:textFill>
            <w14:solidFill>
              <w14:schemeClr w14:val="tx1"/>
            </w14:solidFill>
          </w14:textFill>
        </w:rPr>
        <w:t>（2）</w:t>
      </w:r>
      <w:bookmarkEnd w:id="208"/>
      <w:bookmarkEnd w:id="209"/>
      <w:r>
        <w:rPr>
          <w:rFonts w:hint="eastAsia" w:ascii="宋体" w:hAnsi="宋体" w:eastAsia="宋体" w:cs="宋体"/>
          <w:b/>
          <w:color w:val="000000" w:themeColor="text1"/>
          <w:sz w:val="28"/>
          <w:szCs w:val="28"/>
          <w14:textFill>
            <w14:solidFill>
              <w14:schemeClr w14:val="tx1"/>
            </w14:solidFill>
          </w14:textFill>
        </w:rPr>
        <w:t>授权书</w:t>
      </w:r>
    </w:p>
    <w:p w14:paraId="4E43273E">
      <w:pPr>
        <w:spacing w:line="360" w:lineRule="auto"/>
        <w:jc w:val="center"/>
        <w:rPr>
          <w:rFonts w:hint="eastAsia" w:ascii="宋体" w:hAnsi="宋体" w:eastAsia="宋体"/>
          <w:b/>
          <w:color w:val="000000" w:themeColor="text1"/>
          <w:sz w:val="24"/>
          <w14:textFill>
            <w14:solidFill>
              <w14:schemeClr w14:val="tx1"/>
            </w14:solidFill>
          </w14:textFill>
        </w:rPr>
      </w:pPr>
    </w:p>
    <w:p w14:paraId="01455210">
      <w:pPr>
        <w:pStyle w:val="12"/>
        <w:snapToGrid w:val="0"/>
        <w:spacing w:line="360" w:lineRule="auto"/>
        <w:ind w:firstLine="480" w:firstLineChars="200"/>
        <w:jc w:val="left"/>
        <w:rPr>
          <w:rFonts w:hint="eastAsia"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本授权书声明：</w:t>
      </w:r>
      <w:r>
        <w:rPr>
          <w:rFonts w:hint="eastAsia" w:hAnsi="宋体" w:eastAsia="宋体"/>
          <w:color w:val="000000" w:themeColor="text1"/>
          <w:sz w:val="24"/>
          <w:szCs w:val="28"/>
          <w:u w:val="single"/>
          <w14:textFill>
            <w14:solidFill>
              <w14:schemeClr w14:val="tx1"/>
            </w14:solidFill>
          </w14:textFill>
        </w:rPr>
        <w:t xml:space="preserve">           </w:t>
      </w:r>
      <w:r>
        <w:rPr>
          <w:rFonts w:hint="eastAsia" w:hAnsi="宋体" w:eastAsia="宋体"/>
          <w:color w:val="000000" w:themeColor="text1"/>
          <w:sz w:val="24"/>
          <w:szCs w:val="28"/>
          <w14:textFill>
            <w14:solidFill>
              <w14:schemeClr w14:val="tx1"/>
            </w14:solidFill>
          </w14:textFill>
        </w:rPr>
        <w:t>（投标人名称）授权</w:t>
      </w:r>
      <w:r>
        <w:rPr>
          <w:rFonts w:hint="eastAsia" w:hAnsi="宋体" w:eastAsia="宋体"/>
          <w:color w:val="000000" w:themeColor="text1"/>
          <w:sz w:val="24"/>
          <w:szCs w:val="28"/>
          <w:u w:val="single"/>
          <w14:textFill>
            <w14:solidFill>
              <w14:schemeClr w14:val="tx1"/>
            </w14:solidFill>
          </w14:textFill>
        </w:rPr>
        <w:t xml:space="preserve">       </w:t>
      </w:r>
      <w:r>
        <w:rPr>
          <w:rFonts w:hint="eastAsia" w:hAnsi="宋体" w:eastAsia="宋体"/>
          <w:color w:val="000000" w:themeColor="text1"/>
          <w:sz w:val="24"/>
          <w:szCs w:val="28"/>
          <w14:textFill>
            <w14:solidFill>
              <w14:schemeClr w14:val="tx1"/>
            </w14:solidFill>
          </w14:textFill>
        </w:rPr>
        <w:t>（投标人授权代表姓名）代表我方参加本项目</w:t>
      </w:r>
      <w:r>
        <w:rPr>
          <w:rFonts w:hint="eastAsia" w:hAnsi="宋体" w:eastAsia="宋体"/>
          <w:bCs/>
          <w:color w:val="000000" w:themeColor="text1"/>
          <w:sz w:val="24"/>
          <w:szCs w:val="28"/>
          <w14:textFill>
            <w14:solidFill>
              <w14:schemeClr w14:val="tx1"/>
            </w14:solidFill>
          </w14:textFill>
        </w:rPr>
        <w:t>采购活动</w:t>
      </w:r>
      <w:r>
        <w:rPr>
          <w:rFonts w:hint="eastAsia" w:hAnsi="宋体" w:eastAsia="宋体"/>
          <w:color w:val="000000" w:themeColor="text1"/>
          <w:sz w:val="24"/>
          <w:szCs w:val="28"/>
          <w14:textFill>
            <w14:solidFill>
              <w14:schemeClr w14:val="tx1"/>
            </w14:solidFill>
          </w14:textFill>
        </w:rPr>
        <w:t>，全权代表我方处理投标过程的一切事宜，包括但不限于：提交响应文件、参与投标、签约等。投标人授权代表在采购活动过程中所签署的一切文件和处理与之有关的一切事务，本公司均予以认可并对此承担责任。投标人授权代表无转委托权。特此授权。</w:t>
      </w:r>
    </w:p>
    <w:p w14:paraId="5B69EFCD">
      <w:pPr>
        <w:pStyle w:val="12"/>
        <w:snapToGrid w:val="0"/>
        <w:spacing w:line="360" w:lineRule="auto"/>
        <w:ind w:firstLine="480" w:firstLineChars="200"/>
        <w:jc w:val="left"/>
        <w:rPr>
          <w:rFonts w:hint="eastAsia"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本授权书自出具之日起生效。</w:t>
      </w:r>
    </w:p>
    <w:p w14:paraId="0A2169F6">
      <w:pPr>
        <w:pStyle w:val="12"/>
        <w:snapToGrid w:val="0"/>
        <w:spacing w:line="360" w:lineRule="auto"/>
        <w:ind w:firstLine="480" w:firstLineChars="200"/>
        <w:jc w:val="left"/>
        <w:rPr>
          <w:rFonts w:hint="eastAsia" w:hAnsi="宋体" w:eastAsia="宋体"/>
          <w:color w:val="000000" w:themeColor="text1"/>
          <w:sz w:val="24"/>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授权代表</w:t>
      </w:r>
      <w:r>
        <w:rPr>
          <w:rFonts w:hint="eastAsia" w:hAnsi="宋体" w:eastAsia="宋体"/>
          <w:color w:val="000000" w:themeColor="text1"/>
          <w:sz w:val="24"/>
          <w14:textFill>
            <w14:solidFill>
              <w14:schemeClr w14:val="tx1"/>
            </w14:solidFill>
          </w14:textFill>
        </w:rPr>
        <w:t>身份证明扫描件：</w:t>
      </w:r>
    </w:p>
    <w:p w14:paraId="3EEAC32E">
      <w:pPr>
        <w:pStyle w:val="12"/>
        <w:snapToGrid w:val="0"/>
        <w:spacing w:line="360" w:lineRule="auto"/>
        <w:ind w:firstLine="480" w:firstLineChars="200"/>
        <w:jc w:val="left"/>
        <w:rPr>
          <w:rFonts w:hint="eastAsia" w:hAnsi="宋体" w:eastAsia="宋体"/>
          <w:color w:val="000000" w:themeColor="text1"/>
          <w:sz w:val="24"/>
          <w14:textFill>
            <w14:solidFill>
              <w14:schemeClr w14:val="tx1"/>
            </w14:solidFill>
          </w14:textFill>
        </w:rPr>
      </w:pPr>
    </w:p>
    <w:p w14:paraId="4F4E9A1F">
      <w:pPr>
        <w:pStyle w:val="12"/>
        <w:snapToGrid w:val="0"/>
        <w:spacing w:line="360" w:lineRule="auto"/>
        <w:ind w:firstLine="480" w:firstLineChars="200"/>
        <w:jc w:val="left"/>
        <w:rPr>
          <w:rFonts w:hint="eastAsia" w:hAnsi="宋体" w:eastAsia="宋体"/>
          <w:color w:val="000000" w:themeColor="text1"/>
          <w:sz w:val="24"/>
          <w14:textFill>
            <w14:solidFill>
              <w14:schemeClr w14:val="tx1"/>
            </w14:solidFill>
          </w14:textFill>
        </w:rPr>
      </w:pPr>
    </w:p>
    <w:p w14:paraId="157B6C02">
      <w:pPr>
        <w:pStyle w:val="12"/>
        <w:snapToGrid w:val="0"/>
        <w:spacing w:line="360" w:lineRule="auto"/>
        <w:ind w:firstLine="480" w:firstLineChars="200"/>
        <w:jc w:val="left"/>
        <w:rPr>
          <w:rFonts w:hint="eastAsia" w:hAnsi="宋体" w:eastAsia="宋体"/>
          <w:color w:val="000000" w:themeColor="text1"/>
          <w:sz w:val="24"/>
          <w14:textFill>
            <w14:solidFill>
              <w14:schemeClr w14:val="tx1"/>
            </w14:solidFill>
          </w14:textFill>
        </w:rPr>
      </w:pPr>
    </w:p>
    <w:p w14:paraId="3AEB4CE9">
      <w:pPr>
        <w:pStyle w:val="12"/>
        <w:snapToGrid w:val="0"/>
        <w:spacing w:line="360" w:lineRule="auto"/>
        <w:ind w:firstLine="480" w:firstLineChars="200"/>
        <w:jc w:val="left"/>
        <w:rPr>
          <w:rFonts w:hint="eastAsia" w:hAnsi="宋体" w:eastAsia="宋体"/>
          <w:color w:val="000000" w:themeColor="text1"/>
          <w:sz w:val="24"/>
          <w14:textFill>
            <w14:solidFill>
              <w14:schemeClr w14:val="tx1"/>
            </w14:solidFill>
          </w14:textFill>
        </w:rPr>
      </w:pPr>
    </w:p>
    <w:p w14:paraId="6FF26BB8">
      <w:pPr>
        <w:pStyle w:val="12"/>
        <w:snapToGrid w:val="0"/>
        <w:spacing w:line="360" w:lineRule="auto"/>
        <w:ind w:firstLine="480" w:firstLineChars="200"/>
        <w:jc w:val="left"/>
        <w:rPr>
          <w:rFonts w:hint="eastAsia" w:hAnsi="宋体" w:eastAsia="宋体"/>
          <w:color w:val="000000" w:themeColor="text1"/>
          <w:sz w:val="24"/>
          <w:szCs w:val="28"/>
          <w:u w:val="single"/>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授权代表联系方式：</w:t>
      </w:r>
      <w:r>
        <w:rPr>
          <w:rFonts w:hint="eastAsia" w:hAnsi="宋体" w:eastAsia="宋体"/>
          <w:color w:val="000000" w:themeColor="text1"/>
          <w:sz w:val="24"/>
          <w:szCs w:val="28"/>
          <w:u w:val="single"/>
          <w14:textFill>
            <w14:solidFill>
              <w14:schemeClr w14:val="tx1"/>
            </w14:solidFill>
          </w14:textFill>
        </w:rPr>
        <w:t xml:space="preserve">          （请填写手机号码）</w:t>
      </w:r>
    </w:p>
    <w:p w14:paraId="421B7352">
      <w:pPr>
        <w:pStyle w:val="12"/>
        <w:snapToGrid w:val="0"/>
        <w:spacing w:line="360" w:lineRule="auto"/>
        <w:ind w:firstLine="480" w:firstLineChars="200"/>
        <w:jc w:val="left"/>
        <w:rPr>
          <w:rFonts w:hint="eastAsia" w:hAnsi="宋体" w:eastAsia="宋体"/>
          <w:color w:val="000000" w:themeColor="text1"/>
          <w:sz w:val="24"/>
          <w:szCs w:val="28"/>
          <w:u w:val="single"/>
          <w14:textFill>
            <w14:solidFill>
              <w14:schemeClr w14:val="tx1"/>
            </w14:solidFill>
          </w14:textFill>
        </w:rPr>
      </w:pPr>
    </w:p>
    <w:p w14:paraId="3223E5D5">
      <w:pPr>
        <w:pStyle w:val="12"/>
        <w:snapToGrid w:val="0"/>
        <w:spacing w:line="360" w:lineRule="auto"/>
        <w:ind w:firstLine="480" w:firstLineChars="200"/>
        <w:jc w:val="left"/>
        <w:rPr>
          <w:rFonts w:hint="eastAsia"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特此声明。</w:t>
      </w:r>
    </w:p>
    <w:p w14:paraId="2634FC70">
      <w:pPr>
        <w:spacing w:line="360" w:lineRule="auto"/>
        <w:rPr>
          <w:rFonts w:hint="eastAsia" w:ascii="宋体" w:hAnsi="宋体" w:eastAsia="宋体"/>
          <w:color w:val="000000" w:themeColor="text1"/>
          <w:sz w:val="24"/>
          <w:szCs w:val="28"/>
          <w14:textFill>
            <w14:solidFill>
              <w14:schemeClr w14:val="tx1"/>
            </w14:solidFill>
          </w14:textFill>
        </w:rPr>
      </w:pPr>
    </w:p>
    <w:p w14:paraId="59C52948">
      <w:pPr>
        <w:pStyle w:val="10"/>
        <w:rPr>
          <w:rFonts w:hint="eastAsia"/>
          <w:color w:val="000000" w:themeColor="text1"/>
          <w14:textFill>
            <w14:solidFill>
              <w14:schemeClr w14:val="tx1"/>
            </w14:solidFill>
          </w14:textFill>
        </w:rPr>
      </w:pPr>
    </w:p>
    <w:p w14:paraId="7BCD8BC4">
      <w:pPr>
        <w:spacing w:line="360" w:lineRule="auto"/>
        <w:ind w:firstLine="4800" w:firstLineChars="2000"/>
        <w:rPr>
          <w:rFonts w:hint="eastAsia"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投标人公章：</w:t>
      </w:r>
      <w:r>
        <w:rPr>
          <w:rFonts w:hint="eastAsia" w:ascii="宋体" w:hAnsi="宋体" w:eastAsia="宋体"/>
          <w:color w:val="000000" w:themeColor="text1"/>
          <w:sz w:val="24"/>
          <w:u w:val="single"/>
          <w14:textFill>
            <w14:solidFill>
              <w14:schemeClr w14:val="tx1"/>
            </w14:solidFill>
          </w14:textFill>
        </w:rPr>
        <w:t xml:space="preserve">             </w:t>
      </w:r>
    </w:p>
    <w:p w14:paraId="1777CB87">
      <w:pPr>
        <w:spacing w:line="360" w:lineRule="auto"/>
        <w:ind w:firstLine="4800" w:firstLineChars="2000"/>
        <w:rPr>
          <w:rFonts w:hint="eastAsia"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r>
        <w:rPr>
          <w:rFonts w:hint="eastAsia" w:ascii="宋体" w:hAnsi="宋体" w:eastAsia="宋体"/>
          <w:color w:val="000000" w:themeColor="text1"/>
          <w:sz w:val="24"/>
          <w:u w:val="single"/>
          <w14:textFill>
            <w14:solidFill>
              <w14:schemeClr w14:val="tx1"/>
            </w14:solidFill>
          </w14:textFill>
        </w:rPr>
        <w:t xml:space="preserve">             </w:t>
      </w:r>
    </w:p>
    <w:p w14:paraId="69C7AE1E">
      <w:pPr>
        <w:spacing w:line="360" w:lineRule="auto"/>
        <w:rPr>
          <w:rFonts w:hint="eastAsia" w:ascii="宋体" w:hAnsi="宋体" w:eastAsia="宋体"/>
          <w:color w:val="000000" w:themeColor="text1"/>
          <w:sz w:val="24"/>
          <w:szCs w:val="28"/>
          <w14:textFill>
            <w14:solidFill>
              <w14:schemeClr w14:val="tx1"/>
            </w14:solidFill>
          </w14:textFill>
        </w:rPr>
      </w:pPr>
    </w:p>
    <w:p w14:paraId="2C6F97F5">
      <w:pPr>
        <w:pStyle w:val="10"/>
        <w:rPr>
          <w:rFonts w:hint="eastAsia" w:ascii="宋体" w:hAnsi="宋体" w:eastAsia="宋体"/>
          <w:color w:val="000000" w:themeColor="text1"/>
          <w:sz w:val="24"/>
          <w:szCs w:val="28"/>
          <w14:textFill>
            <w14:solidFill>
              <w14:schemeClr w14:val="tx1"/>
            </w14:solidFill>
          </w14:textFill>
        </w:rPr>
      </w:pPr>
    </w:p>
    <w:p w14:paraId="50254A6D">
      <w:pPr>
        <w:pStyle w:val="10"/>
        <w:rPr>
          <w:rFonts w:hint="eastAsia" w:ascii="宋体" w:hAnsi="宋体" w:eastAsia="宋体"/>
          <w:color w:val="000000" w:themeColor="text1"/>
          <w:sz w:val="24"/>
          <w:szCs w:val="28"/>
          <w14:textFill>
            <w14:solidFill>
              <w14:schemeClr w14:val="tx1"/>
            </w14:solidFill>
          </w14:textFill>
        </w:rPr>
      </w:pPr>
    </w:p>
    <w:p w14:paraId="41A508D2">
      <w:pPr>
        <w:spacing w:line="360" w:lineRule="auto"/>
        <w:rPr>
          <w:rFonts w:hint="eastAsia" w:ascii="宋体" w:hAnsi="宋体" w:eastAsia="宋体"/>
          <w:color w:val="000000" w:themeColor="text1"/>
          <w:sz w:val="24"/>
          <w:szCs w:val="28"/>
          <w14:textFill>
            <w14:solidFill>
              <w14:schemeClr w14:val="tx1"/>
            </w14:solidFill>
          </w14:textFill>
        </w:rPr>
      </w:pPr>
    </w:p>
    <w:p w14:paraId="7350363B">
      <w:pPr>
        <w:pStyle w:val="12"/>
        <w:snapToGrid w:val="0"/>
        <w:spacing w:line="360" w:lineRule="auto"/>
        <w:jc w:val="left"/>
        <w:rPr>
          <w:rFonts w:hint="eastAsia"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注：</w:t>
      </w:r>
    </w:p>
    <w:p w14:paraId="673D5C62">
      <w:pPr>
        <w:pStyle w:val="12"/>
        <w:snapToGrid w:val="0"/>
        <w:spacing w:line="360" w:lineRule="auto"/>
        <w:ind w:firstLine="480" w:firstLineChars="200"/>
        <w:jc w:val="left"/>
        <w:rPr>
          <w:rFonts w:hint="eastAsia"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1.本项目只允许有唯一的投标人授权代表，提供身份证明材料；</w:t>
      </w:r>
    </w:p>
    <w:p w14:paraId="380E0B9F">
      <w:pPr>
        <w:widowControl/>
        <w:spacing w:line="360" w:lineRule="auto"/>
        <w:ind w:firstLine="480" w:firstLineChars="200"/>
        <w:jc w:val="left"/>
        <w:rPr>
          <w:rFonts w:hint="eastAsia"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2.法定代表人参加投标的无需提供授权书，仅提供身份证明材料。</w:t>
      </w:r>
    </w:p>
    <w:p w14:paraId="0DE09B72">
      <w:pPr>
        <w:pStyle w:val="10"/>
        <w:rPr>
          <w:rFonts w:hint="eastAsia" w:ascii="宋体" w:hAnsi="宋体" w:eastAsia="宋体"/>
          <w:color w:val="000000" w:themeColor="text1"/>
          <w:sz w:val="24"/>
          <w14:textFill>
            <w14:solidFill>
              <w14:schemeClr w14:val="tx1"/>
            </w14:solidFill>
          </w14:textFill>
        </w:rPr>
      </w:pPr>
    </w:p>
    <w:p w14:paraId="7CB81F3B">
      <w:pPr>
        <w:pStyle w:val="10"/>
        <w:rPr>
          <w:rFonts w:hint="eastAsia" w:ascii="宋体" w:hAnsi="宋体" w:eastAsia="宋体"/>
          <w:color w:val="000000" w:themeColor="text1"/>
          <w:sz w:val="24"/>
          <w14:textFill>
            <w14:solidFill>
              <w14:schemeClr w14:val="tx1"/>
            </w14:solidFill>
          </w14:textFill>
        </w:rPr>
      </w:pPr>
    </w:p>
    <w:p w14:paraId="3E930AD4">
      <w:pPr>
        <w:pStyle w:val="10"/>
        <w:rPr>
          <w:rFonts w:hint="eastAsia" w:ascii="宋体" w:hAnsi="宋体" w:eastAsia="宋体"/>
          <w:color w:val="000000" w:themeColor="text1"/>
          <w:sz w:val="24"/>
          <w14:textFill>
            <w14:solidFill>
              <w14:schemeClr w14:val="tx1"/>
            </w14:solidFill>
          </w14:textFill>
        </w:rPr>
      </w:pPr>
    </w:p>
    <w:p w14:paraId="2A132C2D">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（3）诚信投标承诺书</w:t>
      </w:r>
    </w:p>
    <w:p w14:paraId="3C9286ED">
      <w:pPr>
        <w:spacing w:line="500" w:lineRule="exact"/>
        <w:rPr>
          <w:rFonts w:hint="eastAsia" w:ascii="宋体" w:hAnsi="宋体" w:eastAsia="宋体" w:cs="宋体"/>
          <w:color w:val="000000" w:themeColor="text1"/>
          <w:szCs w:val="21"/>
          <w14:textFill>
            <w14:solidFill>
              <w14:schemeClr w14:val="tx1"/>
            </w14:solidFill>
          </w14:textFill>
        </w:rPr>
      </w:pPr>
      <w:bookmarkStart w:id="210" w:name="_Toc23068"/>
      <w:r>
        <w:rPr>
          <w:rFonts w:hint="eastAsia" w:ascii="宋体" w:hAnsi="宋体" w:eastAsia="宋体" w:cs="宋体"/>
          <w:color w:val="000000" w:themeColor="text1"/>
          <w:szCs w:val="21"/>
          <w14:textFill>
            <w14:solidFill>
              <w14:schemeClr w14:val="tx1"/>
            </w14:solidFill>
          </w14:textFill>
        </w:rPr>
        <w:t>本人以企业法定代表人的身份郑重承诺：</w:t>
      </w:r>
    </w:p>
    <w:p w14:paraId="5C4EFE00">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一、将遵循公开、公正和诚实信用的原则自愿参加</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项目的投标，所提供的一切材料都是真实、有效、合法的；</w:t>
      </w:r>
    </w:p>
    <w:p w14:paraId="5D731FEA">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249C2CA6">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三、不出借、转让资质证书，不让他人挂靠投标，不以他人名义投标或者以其他方式弄虚作假，骗取中标；</w:t>
      </w:r>
    </w:p>
    <w:p w14:paraId="1669B193">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四、不与其他投标人相互串通投标报价，不排挤其他投标人的公平竞争、损害采购人的合法权益；</w:t>
      </w:r>
    </w:p>
    <w:p w14:paraId="6FCE2300">
      <w:pPr>
        <w:spacing w:line="500" w:lineRule="exact"/>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五、不与采购人、采购代理机构或其他投标人串通投标，损害国家利益、社会公共利益或者他人的合法权益；</w:t>
      </w:r>
    </w:p>
    <w:p w14:paraId="5221A598">
      <w:pPr>
        <w:spacing w:line="500" w:lineRule="exact"/>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w:t>
      </w:r>
      <w:r>
        <w:rPr>
          <w:rFonts w:hint="eastAsia" w:ascii="宋体" w:hAnsi="宋体" w:eastAsia="宋体" w:cs="宋体"/>
          <w:color w:val="000000" w:themeColor="text1"/>
          <w:szCs w:val="21"/>
          <w:u w:val="single"/>
          <w:lang w:bidi="ar"/>
          <w14:textFill>
            <w14:solidFill>
              <w14:schemeClr w14:val="tx1"/>
            </w14:solidFill>
          </w14:textFill>
        </w:rPr>
        <w:t xml:space="preserve">       （企业名称）</w:t>
      </w:r>
      <w:r>
        <w:rPr>
          <w:rFonts w:hint="eastAsia" w:ascii="宋体" w:hAnsi="宋体" w:eastAsia="宋体" w:cs="宋体"/>
          <w:color w:val="000000" w:themeColor="text1"/>
          <w:szCs w:val="21"/>
          <w:lang w:bidi="ar"/>
          <w14:textFill>
            <w14:solidFill>
              <w14:schemeClr w14:val="tx1"/>
            </w14:solidFill>
          </w14:textFill>
        </w:rPr>
        <w:t>或</w:t>
      </w:r>
      <w:r>
        <w:rPr>
          <w:rFonts w:hint="eastAsia" w:ascii="宋体" w:hAnsi="宋体" w:eastAsia="宋体" w:cs="宋体"/>
          <w:color w:val="000000" w:themeColor="text1"/>
          <w:szCs w:val="21"/>
          <w:u w:val="single"/>
          <w:lang w:bidi="ar"/>
          <w14:textFill>
            <w14:solidFill>
              <w14:schemeClr w14:val="tx1"/>
            </w14:solidFill>
          </w14:textFill>
        </w:rPr>
        <w:t xml:space="preserve">       （企业名称）</w:t>
      </w:r>
      <w:r>
        <w:rPr>
          <w:rFonts w:hint="eastAsia" w:ascii="宋体" w:hAnsi="宋体" w:eastAsia="宋体" w:cs="宋体"/>
          <w:color w:val="000000" w:themeColor="text1"/>
          <w:szCs w:val="21"/>
          <w:lang w:bidi="ar"/>
          <w14:textFill>
            <w14:solidFill>
              <w14:schemeClr w14:val="tx1"/>
            </w14:solidFill>
          </w14:textFill>
        </w:rPr>
        <w:t>法定代表人没有下列情形：①被列入“信用中国”网站“失信被执行人”的；②被列入“信用中国”网站“重大税收违法失信主体”的；③被列入“信用中国”网站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6FDA95F4">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七、严格遵守开标现场纪律，服从监管人员管理；</w:t>
      </w:r>
    </w:p>
    <w:p w14:paraId="2FB79466">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八、保证中标后不转包，若有分包征得采购人同意；</w:t>
      </w:r>
    </w:p>
    <w:p w14:paraId="30C4D01E">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九、保证中标之后，按照投标文件要求提供相关后续服务；</w:t>
      </w:r>
    </w:p>
    <w:p w14:paraId="0970D82F">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十、保证企业及所属相关人员在本次投标中无行贿等犯罪行为；</w:t>
      </w:r>
    </w:p>
    <w:p w14:paraId="492228EA">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一、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E88686F">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以上内容我已仔细阅读，本公司若有违反承诺内容的行为，自愿接受取消投标或者中标资格、记入不良行为记录等有关处理，愿意承担法律责任，给采购人造成损失的，依法承担赔偿责任。</w:t>
      </w:r>
    </w:p>
    <w:p w14:paraId="121B327C">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386C6F74">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                      基本账户：</w:t>
      </w:r>
    </w:p>
    <w:p w14:paraId="32FC75A8">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投标单位（签章）：              法定代表人（签章）：</w:t>
      </w:r>
    </w:p>
    <w:p w14:paraId="1A3A7092">
      <w:pPr>
        <w:spacing w:line="5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4EFD4FE7">
      <w:pPr>
        <w:widowControl/>
        <w:ind w:firstLine="420" w:firstLineChars="200"/>
        <w:jc w:val="left"/>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日期：</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年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月 </w:t>
      </w:r>
      <w:r>
        <w:rPr>
          <w:rFonts w:hint="eastAsia" w:ascii="宋体" w:hAnsi="宋体" w:eastAsia="宋体" w:cs="宋体"/>
          <w:color w:val="000000" w:themeColor="text1"/>
          <w:szCs w:val="21"/>
          <w:u w:val="single"/>
          <w14:textFill>
            <w14:solidFill>
              <w14:schemeClr w14:val="tx1"/>
            </w14:solidFill>
          </w14:textFill>
        </w:rPr>
        <w:t xml:space="preserve">            </w:t>
      </w:r>
    </w:p>
    <w:p w14:paraId="66EF39F7">
      <w:pPr>
        <w:pStyle w:val="10"/>
        <w:rPr>
          <w:rFonts w:hint="eastAsia" w:ascii="宋体" w:hAnsi="宋体" w:eastAsia="宋体" w:cs="宋体"/>
          <w:color w:val="000000" w:themeColor="text1"/>
          <w:szCs w:val="21"/>
          <w:u w:val="single"/>
          <w14:textFill>
            <w14:solidFill>
              <w14:schemeClr w14:val="tx1"/>
            </w14:solidFill>
          </w14:textFill>
        </w:rPr>
      </w:pPr>
    </w:p>
    <w:p w14:paraId="028FABE6">
      <w:pPr>
        <w:pStyle w:val="10"/>
        <w:rPr>
          <w:rFonts w:hint="eastAsia" w:ascii="宋体" w:hAnsi="宋体" w:eastAsia="宋体" w:cs="宋体"/>
          <w:color w:val="000000" w:themeColor="text1"/>
          <w:szCs w:val="21"/>
          <w:u w:val="single"/>
          <w14:textFill>
            <w14:solidFill>
              <w14:schemeClr w14:val="tx1"/>
            </w14:solidFill>
          </w14:textFill>
        </w:rPr>
      </w:pPr>
    </w:p>
    <w:p w14:paraId="5CC250FF">
      <w:pPr>
        <w:pStyle w:val="10"/>
        <w:rPr>
          <w:rFonts w:hint="eastAsia" w:ascii="宋体" w:hAnsi="宋体" w:eastAsia="宋体" w:cs="宋体"/>
          <w:color w:val="000000" w:themeColor="text1"/>
          <w:szCs w:val="21"/>
          <w:u w:val="single"/>
          <w14:textFill>
            <w14:solidFill>
              <w14:schemeClr w14:val="tx1"/>
            </w14:solidFill>
          </w14:textFill>
        </w:rPr>
      </w:pPr>
    </w:p>
    <w:p w14:paraId="25AA3A8E">
      <w:pPr>
        <w:pStyle w:val="10"/>
        <w:rPr>
          <w:rFonts w:hint="eastAsia" w:ascii="宋体" w:hAnsi="宋体" w:eastAsia="宋体" w:cs="宋体"/>
          <w:color w:val="000000" w:themeColor="text1"/>
          <w:szCs w:val="21"/>
          <w:u w:val="single"/>
          <w14:textFill>
            <w14:solidFill>
              <w14:schemeClr w14:val="tx1"/>
            </w14:solidFill>
          </w14:textFill>
        </w:rPr>
      </w:pPr>
    </w:p>
    <w:p w14:paraId="0E9523FE">
      <w:pPr>
        <w:pStyle w:val="10"/>
        <w:rPr>
          <w:rFonts w:hint="eastAsia" w:ascii="宋体" w:hAnsi="宋体" w:eastAsia="宋体" w:cs="宋体"/>
          <w:color w:val="000000" w:themeColor="text1"/>
          <w:szCs w:val="21"/>
          <w:u w:val="single"/>
          <w14:textFill>
            <w14:solidFill>
              <w14:schemeClr w14:val="tx1"/>
            </w14:solidFill>
          </w14:textFill>
        </w:rPr>
      </w:pPr>
    </w:p>
    <w:p w14:paraId="0A9288EA">
      <w:pPr>
        <w:pStyle w:val="10"/>
        <w:rPr>
          <w:rFonts w:hint="eastAsia" w:ascii="宋体" w:hAnsi="宋体" w:eastAsia="宋体" w:cs="宋体"/>
          <w:color w:val="000000" w:themeColor="text1"/>
          <w:szCs w:val="21"/>
          <w:u w:val="single"/>
          <w14:textFill>
            <w14:solidFill>
              <w14:schemeClr w14:val="tx1"/>
            </w14:solidFill>
          </w14:textFill>
        </w:rPr>
      </w:pPr>
    </w:p>
    <w:p w14:paraId="329B30FB">
      <w:pPr>
        <w:pStyle w:val="10"/>
        <w:rPr>
          <w:rFonts w:hint="eastAsia" w:ascii="宋体" w:hAnsi="宋体" w:eastAsia="宋体" w:cs="宋体"/>
          <w:color w:val="000000" w:themeColor="text1"/>
          <w:szCs w:val="21"/>
          <w:u w:val="single"/>
          <w14:textFill>
            <w14:solidFill>
              <w14:schemeClr w14:val="tx1"/>
            </w14:solidFill>
          </w14:textFill>
        </w:rPr>
      </w:pPr>
    </w:p>
    <w:p w14:paraId="06B2DAF7">
      <w:pPr>
        <w:pStyle w:val="10"/>
        <w:rPr>
          <w:rFonts w:hint="eastAsia" w:ascii="宋体" w:hAnsi="宋体" w:eastAsia="宋体" w:cs="宋体"/>
          <w:color w:val="000000" w:themeColor="text1"/>
          <w:szCs w:val="21"/>
          <w:u w:val="single"/>
          <w14:textFill>
            <w14:solidFill>
              <w14:schemeClr w14:val="tx1"/>
            </w14:solidFill>
          </w14:textFill>
        </w:rPr>
      </w:pPr>
    </w:p>
    <w:p w14:paraId="1686D7AD">
      <w:pPr>
        <w:pStyle w:val="10"/>
        <w:rPr>
          <w:rFonts w:hint="eastAsia" w:ascii="宋体" w:hAnsi="宋体" w:eastAsia="宋体" w:cs="宋体"/>
          <w:color w:val="000000" w:themeColor="text1"/>
          <w:szCs w:val="21"/>
          <w:u w:val="single"/>
          <w14:textFill>
            <w14:solidFill>
              <w14:schemeClr w14:val="tx1"/>
            </w14:solidFill>
          </w14:textFill>
        </w:rPr>
      </w:pPr>
    </w:p>
    <w:p w14:paraId="4E0CC630">
      <w:pPr>
        <w:pStyle w:val="10"/>
        <w:rPr>
          <w:rFonts w:hint="eastAsia" w:ascii="宋体" w:hAnsi="宋体" w:eastAsia="宋体" w:cs="宋体"/>
          <w:color w:val="000000" w:themeColor="text1"/>
          <w:szCs w:val="21"/>
          <w:u w:val="single"/>
          <w14:textFill>
            <w14:solidFill>
              <w14:schemeClr w14:val="tx1"/>
            </w14:solidFill>
          </w14:textFill>
        </w:rPr>
      </w:pPr>
    </w:p>
    <w:p w14:paraId="5B1BFE12">
      <w:pPr>
        <w:pStyle w:val="10"/>
        <w:rPr>
          <w:rFonts w:hint="eastAsia" w:ascii="宋体" w:hAnsi="宋体" w:eastAsia="宋体" w:cs="宋体"/>
          <w:color w:val="000000" w:themeColor="text1"/>
          <w:szCs w:val="21"/>
          <w:u w:val="single"/>
          <w14:textFill>
            <w14:solidFill>
              <w14:schemeClr w14:val="tx1"/>
            </w14:solidFill>
          </w14:textFill>
        </w:rPr>
      </w:pPr>
    </w:p>
    <w:p w14:paraId="5BEEE230">
      <w:pPr>
        <w:pStyle w:val="10"/>
        <w:rPr>
          <w:rFonts w:hint="eastAsia" w:ascii="宋体" w:hAnsi="宋体" w:eastAsia="宋体" w:cs="宋体"/>
          <w:color w:val="000000" w:themeColor="text1"/>
          <w:szCs w:val="21"/>
          <w:u w:val="single"/>
          <w14:textFill>
            <w14:solidFill>
              <w14:schemeClr w14:val="tx1"/>
            </w14:solidFill>
          </w14:textFill>
        </w:rPr>
      </w:pPr>
    </w:p>
    <w:p w14:paraId="7668299F">
      <w:pPr>
        <w:pStyle w:val="10"/>
        <w:rPr>
          <w:rFonts w:hint="eastAsia" w:ascii="宋体" w:hAnsi="宋体" w:eastAsia="宋体" w:cs="宋体"/>
          <w:color w:val="000000" w:themeColor="text1"/>
          <w:szCs w:val="21"/>
          <w:u w:val="single"/>
          <w14:textFill>
            <w14:solidFill>
              <w14:schemeClr w14:val="tx1"/>
            </w14:solidFill>
          </w14:textFill>
        </w:rPr>
      </w:pPr>
    </w:p>
    <w:p w14:paraId="15119EF8">
      <w:pPr>
        <w:pStyle w:val="10"/>
        <w:rPr>
          <w:rFonts w:hint="eastAsia" w:ascii="宋体" w:hAnsi="宋体" w:eastAsia="宋体" w:cs="宋体"/>
          <w:color w:val="000000" w:themeColor="text1"/>
          <w:szCs w:val="21"/>
          <w:u w:val="single"/>
          <w14:textFill>
            <w14:solidFill>
              <w14:schemeClr w14:val="tx1"/>
            </w14:solidFill>
          </w14:textFill>
        </w:rPr>
      </w:pPr>
    </w:p>
    <w:p w14:paraId="600C3A47">
      <w:pPr>
        <w:pStyle w:val="10"/>
        <w:rPr>
          <w:rFonts w:hint="eastAsia" w:ascii="宋体" w:hAnsi="宋体" w:eastAsia="宋体" w:cs="宋体"/>
          <w:color w:val="000000" w:themeColor="text1"/>
          <w:szCs w:val="21"/>
          <w:u w:val="single"/>
          <w14:textFill>
            <w14:solidFill>
              <w14:schemeClr w14:val="tx1"/>
            </w14:solidFill>
          </w14:textFill>
        </w:rPr>
      </w:pPr>
    </w:p>
    <w:p w14:paraId="502499BF">
      <w:pPr>
        <w:pStyle w:val="10"/>
        <w:rPr>
          <w:rFonts w:hint="eastAsia" w:ascii="宋体" w:hAnsi="宋体" w:eastAsia="宋体" w:cs="宋体"/>
          <w:color w:val="000000" w:themeColor="text1"/>
          <w:szCs w:val="21"/>
          <w:u w:val="single"/>
          <w14:textFill>
            <w14:solidFill>
              <w14:schemeClr w14:val="tx1"/>
            </w14:solidFill>
          </w14:textFill>
        </w:rPr>
      </w:pPr>
    </w:p>
    <w:p w14:paraId="272B1A11">
      <w:pPr>
        <w:pStyle w:val="10"/>
        <w:rPr>
          <w:rFonts w:hint="eastAsia" w:ascii="宋体" w:hAnsi="宋体" w:eastAsia="宋体" w:cs="宋体"/>
          <w:color w:val="000000" w:themeColor="text1"/>
          <w:szCs w:val="21"/>
          <w:u w:val="single"/>
          <w14:textFill>
            <w14:solidFill>
              <w14:schemeClr w14:val="tx1"/>
            </w14:solidFill>
          </w14:textFill>
        </w:rPr>
      </w:pPr>
    </w:p>
    <w:p w14:paraId="3B93C44F">
      <w:pPr>
        <w:pStyle w:val="10"/>
        <w:rPr>
          <w:rFonts w:hint="eastAsia" w:ascii="宋体" w:hAnsi="宋体" w:eastAsia="宋体" w:cs="宋体"/>
          <w:color w:val="000000" w:themeColor="text1"/>
          <w:szCs w:val="21"/>
          <w:u w:val="single"/>
          <w14:textFill>
            <w14:solidFill>
              <w14:schemeClr w14:val="tx1"/>
            </w14:solidFill>
          </w14:textFill>
        </w:rPr>
      </w:pPr>
    </w:p>
    <w:p w14:paraId="2EDEE524">
      <w:pPr>
        <w:pStyle w:val="10"/>
        <w:rPr>
          <w:rFonts w:hint="eastAsia" w:ascii="宋体" w:hAnsi="宋体" w:eastAsia="宋体" w:cs="宋体"/>
          <w:color w:val="000000" w:themeColor="text1"/>
          <w:szCs w:val="21"/>
          <w:u w:val="single"/>
          <w14:textFill>
            <w14:solidFill>
              <w14:schemeClr w14:val="tx1"/>
            </w14:solidFill>
          </w14:textFill>
        </w:rPr>
      </w:pPr>
    </w:p>
    <w:p w14:paraId="380952C5">
      <w:pPr>
        <w:pStyle w:val="10"/>
        <w:rPr>
          <w:rFonts w:hint="eastAsia" w:ascii="宋体" w:hAnsi="宋体" w:eastAsia="宋体" w:cs="宋体"/>
          <w:color w:val="000000" w:themeColor="text1"/>
          <w:szCs w:val="21"/>
          <w:u w:val="single"/>
          <w14:textFill>
            <w14:solidFill>
              <w14:schemeClr w14:val="tx1"/>
            </w14:solidFill>
          </w14:textFill>
        </w:rPr>
      </w:pPr>
    </w:p>
    <w:p w14:paraId="58B92E59">
      <w:pPr>
        <w:pStyle w:val="10"/>
        <w:rPr>
          <w:rFonts w:hint="eastAsia" w:ascii="宋体" w:hAnsi="宋体" w:eastAsia="宋体" w:cs="宋体"/>
          <w:color w:val="000000" w:themeColor="text1"/>
          <w:szCs w:val="21"/>
          <w:u w:val="single"/>
          <w14:textFill>
            <w14:solidFill>
              <w14:schemeClr w14:val="tx1"/>
            </w14:solidFill>
          </w14:textFill>
        </w:rPr>
      </w:pPr>
    </w:p>
    <w:p w14:paraId="533403EB">
      <w:pPr>
        <w:pStyle w:val="10"/>
        <w:rPr>
          <w:rFonts w:hint="eastAsia" w:ascii="宋体" w:hAnsi="宋体" w:eastAsia="宋体" w:cs="宋体"/>
          <w:color w:val="000000" w:themeColor="text1"/>
          <w:szCs w:val="21"/>
          <w:u w:val="single"/>
          <w14:textFill>
            <w14:solidFill>
              <w14:schemeClr w14:val="tx1"/>
            </w14:solidFill>
          </w14:textFill>
        </w:rPr>
      </w:pPr>
    </w:p>
    <w:p w14:paraId="0D872451">
      <w:pPr>
        <w:pStyle w:val="13"/>
        <w:spacing w:line="440" w:lineRule="exact"/>
        <w:jc w:val="center"/>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（4）诚信履约承诺函</w:t>
      </w:r>
    </w:p>
    <w:p w14:paraId="1488F804">
      <w:pPr>
        <w:spacing w:line="440" w:lineRule="exact"/>
        <w:rPr>
          <w:rFonts w:hint="eastAsia" w:ascii="宋体" w:hAnsi="宋体" w:eastAsia="宋体" w:cs="宋体"/>
          <w:b/>
          <w:color w:val="000000" w:themeColor="text1"/>
          <w:sz w:val="28"/>
          <w:szCs w:val="28"/>
          <w14:textFill>
            <w14:solidFill>
              <w14:schemeClr w14:val="tx1"/>
            </w14:solidFill>
          </w14:textFill>
        </w:rPr>
      </w:pPr>
    </w:p>
    <w:p w14:paraId="659F7AF5">
      <w:pPr>
        <w:spacing w:line="440" w:lineRule="exact"/>
        <w:rPr>
          <w:rFonts w:hint="eastAsia" w:ascii="宋体" w:hAnsi="宋体" w:eastAsia="宋体" w:cs="宋体"/>
          <w:b/>
          <w:bCs/>
          <w:color w:val="000000" w:themeColor="text1"/>
          <w:sz w:val="24"/>
          <w:u w:val="single"/>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致：采购人</w:t>
      </w:r>
    </w:p>
    <w:p w14:paraId="323CEA1D">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65EE1D98">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（1）中标或者成交后无正当理由拒不与采购人签订政府采购合同；</w:t>
      </w:r>
    </w:p>
    <w:p w14:paraId="7AF23FDC">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（2）未按照采购文件确定的事项签订政府采购合同；</w:t>
      </w:r>
    </w:p>
    <w:p w14:paraId="3A88CD7D">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（3）将政府采购合同转包；</w:t>
      </w:r>
    </w:p>
    <w:p w14:paraId="2D4003E9">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（4）提供假冒伪劣产品；</w:t>
      </w:r>
    </w:p>
    <w:p w14:paraId="0BE2D0C6">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（5）擅自变更、中止或者终止政府采购合同。</w:t>
      </w:r>
    </w:p>
    <w:p w14:paraId="176FE837">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B2C46DE">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本承诺声明：1、</w:t>
      </w:r>
      <w:r>
        <w:rPr>
          <w:rFonts w:hint="eastAsia" w:ascii="宋体" w:hAnsi="宋体" w:eastAsia="宋体" w:cs="宋体"/>
          <w:bCs/>
          <w:color w:val="000000" w:themeColor="text1"/>
          <w:sz w:val="24"/>
          <w:u w:val="single"/>
          <w14:textFill>
            <w14:solidFill>
              <w14:schemeClr w14:val="tx1"/>
            </w14:solidFill>
          </w14:textFill>
        </w:rPr>
        <w:t xml:space="preserve">                   （投标人名称）</w:t>
      </w:r>
      <w:r>
        <w:rPr>
          <w:rFonts w:hint="eastAsia" w:ascii="宋体" w:hAnsi="宋体" w:eastAsia="宋体" w:cs="宋体"/>
          <w:bCs/>
          <w:color w:val="000000" w:themeColor="text1"/>
          <w:sz w:val="24"/>
          <w14:textFill>
            <w14:solidFill>
              <w14:schemeClr w14:val="tx1"/>
            </w14:solidFill>
          </w14:textFill>
        </w:rPr>
        <w:t>对本招标文件的相关要求完全响应。若有幸中标将严格按照以上承诺进行供货和服务。</w:t>
      </w:r>
    </w:p>
    <w:p w14:paraId="2CA79807">
      <w:pPr>
        <w:spacing w:line="4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2、所提供的服务产品没有侵犯其著作权、商标权、专利权等知识产权方面的行为。</w:t>
      </w:r>
    </w:p>
    <w:p w14:paraId="3480152B">
      <w:pPr>
        <w:spacing w:line="440" w:lineRule="exac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 xml:space="preserve">    </w:t>
      </w:r>
    </w:p>
    <w:p w14:paraId="30B8D72F">
      <w:pPr>
        <w:spacing w:line="440" w:lineRule="exact"/>
        <w:rPr>
          <w:rFonts w:hint="eastAsia" w:ascii="宋体" w:hAnsi="宋体" w:eastAsia="宋体" w:cs="宋体"/>
          <w:bCs/>
          <w:color w:val="000000" w:themeColor="text1"/>
          <w:sz w:val="24"/>
          <w14:textFill>
            <w14:solidFill>
              <w14:schemeClr w14:val="tx1"/>
            </w14:solidFill>
          </w14:textFill>
        </w:rPr>
      </w:pPr>
    </w:p>
    <w:p w14:paraId="3E23E145">
      <w:pPr>
        <w:spacing w:line="440" w:lineRule="exact"/>
        <w:rPr>
          <w:rFonts w:hint="eastAsia" w:ascii="宋体" w:hAnsi="宋体" w:eastAsia="宋体" w:cs="宋体"/>
          <w:bCs/>
          <w:color w:val="000000" w:themeColor="text1"/>
          <w:sz w:val="24"/>
          <w14:textFill>
            <w14:solidFill>
              <w14:schemeClr w14:val="tx1"/>
            </w14:solidFill>
          </w14:textFill>
        </w:rPr>
      </w:pPr>
    </w:p>
    <w:p w14:paraId="0185DA94">
      <w:pPr>
        <w:spacing w:line="440" w:lineRule="exact"/>
        <w:rPr>
          <w:rFonts w:hint="eastAsia" w:ascii="宋体" w:hAnsi="宋体" w:eastAsia="宋体" w:cs="宋体"/>
          <w:bCs/>
          <w:color w:val="000000" w:themeColor="text1"/>
          <w:sz w:val="24"/>
          <w14:textFill>
            <w14:solidFill>
              <w14:schemeClr w14:val="tx1"/>
            </w14:solidFill>
          </w14:textFill>
        </w:rPr>
      </w:pPr>
    </w:p>
    <w:p w14:paraId="071F1053">
      <w:pPr>
        <w:spacing w:line="440" w:lineRule="exact"/>
        <w:ind w:firstLine="4320" w:firstLineChars="18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投标人盖章：</w:t>
      </w:r>
      <w:r>
        <w:rPr>
          <w:rFonts w:hint="eastAsia" w:ascii="宋体" w:hAnsi="宋体" w:eastAsia="宋体" w:cs="宋体"/>
          <w:bCs/>
          <w:color w:val="000000" w:themeColor="text1"/>
          <w:sz w:val="24"/>
          <w:u w:val="single"/>
          <w14:textFill>
            <w14:solidFill>
              <w14:schemeClr w14:val="tx1"/>
            </w14:solidFill>
          </w14:textFill>
        </w:rPr>
        <w:t xml:space="preserve">             </w:t>
      </w:r>
    </w:p>
    <w:p w14:paraId="4DC1E83D">
      <w:pPr>
        <w:spacing w:line="440" w:lineRule="exact"/>
        <w:ind w:firstLine="4320" w:firstLineChars="18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日      期：</w:t>
      </w:r>
      <w:r>
        <w:rPr>
          <w:rFonts w:hint="eastAsia" w:ascii="宋体" w:hAnsi="宋体" w:eastAsia="宋体" w:cs="宋体"/>
          <w:bCs/>
          <w:color w:val="000000" w:themeColor="text1"/>
          <w:sz w:val="24"/>
          <w:u w:val="single"/>
          <w14:textFill>
            <w14:solidFill>
              <w14:schemeClr w14:val="tx1"/>
            </w14:solidFill>
          </w14:textFill>
        </w:rPr>
        <w:t xml:space="preserve">             </w:t>
      </w:r>
    </w:p>
    <w:p w14:paraId="22F75852">
      <w:pPr>
        <w:pStyle w:val="10"/>
        <w:ind w:left="0" w:leftChars="0"/>
        <w:rPr>
          <w:rFonts w:hint="eastAsia" w:ascii="宋体" w:hAnsi="宋体" w:eastAsia="宋体" w:cs="宋体"/>
          <w:color w:val="000000" w:themeColor="text1"/>
          <w:szCs w:val="21"/>
          <w:u w:val="single"/>
          <w14:textFill>
            <w14:solidFill>
              <w14:schemeClr w14:val="tx1"/>
            </w14:solidFill>
          </w14:textFill>
        </w:rPr>
      </w:pPr>
    </w:p>
    <w:p w14:paraId="06041005">
      <w:pPr>
        <w:pStyle w:val="10"/>
        <w:rPr>
          <w:rFonts w:hint="eastAsia" w:ascii="宋体" w:hAnsi="宋体" w:eastAsia="宋体" w:cs="宋体"/>
          <w:color w:val="000000" w:themeColor="text1"/>
          <w:szCs w:val="21"/>
          <w:u w:val="single"/>
          <w14:textFill>
            <w14:solidFill>
              <w14:schemeClr w14:val="tx1"/>
            </w14:solidFill>
          </w14:textFill>
        </w:rPr>
      </w:pPr>
    </w:p>
    <w:p w14:paraId="64E73534">
      <w:pPr>
        <w:pStyle w:val="10"/>
        <w:rPr>
          <w:rFonts w:hint="eastAsia" w:ascii="宋体" w:hAnsi="宋体" w:eastAsia="宋体" w:cs="宋体"/>
          <w:color w:val="000000" w:themeColor="text1"/>
          <w:szCs w:val="21"/>
          <w:u w:val="single"/>
          <w14:textFill>
            <w14:solidFill>
              <w14:schemeClr w14:val="tx1"/>
            </w14:solidFill>
          </w14:textFill>
        </w:rPr>
      </w:pPr>
    </w:p>
    <w:p w14:paraId="14F0FE3C">
      <w:pPr>
        <w:pStyle w:val="10"/>
        <w:rPr>
          <w:rFonts w:hint="eastAsia" w:ascii="宋体" w:hAnsi="宋体" w:eastAsia="宋体" w:cs="宋体"/>
          <w:color w:val="000000" w:themeColor="text1"/>
          <w:szCs w:val="21"/>
          <w:u w:val="single"/>
          <w14:textFill>
            <w14:solidFill>
              <w14:schemeClr w14:val="tx1"/>
            </w14:solidFill>
          </w14:textFill>
        </w:rPr>
      </w:pPr>
    </w:p>
    <w:p w14:paraId="7C55FE50">
      <w:pPr>
        <w:pStyle w:val="10"/>
        <w:rPr>
          <w:rFonts w:hint="eastAsia" w:ascii="宋体" w:hAnsi="宋体" w:eastAsia="宋体" w:cs="宋体"/>
          <w:color w:val="000000" w:themeColor="text1"/>
          <w:szCs w:val="21"/>
          <w:u w:val="single"/>
          <w14:textFill>
            <w14:solidFill>
              <w14:schemeClr w14:val="tx1"/>
            </w14:solidFill>
          </w14:textFill>
        </w:rPr>
      </w:pPr>
    </w:p>
    <w:p w14:paraId="0A0A3DF3">
      <w:pPr>
        <w:pStyle w:val="10"/>
        <w:rPr>
          <w:rFonts w:hint="eastAsia" w:ascii="宋体" w:hAnsi="宋体" w:eastAsia="宋体" w:cs="宋体"/>
          <w:color w:val="000000" w:themeColor="text1"/>
          <w:szCs w:val="21"/>
          <w:u w:val="single"/>
          <w14:textFill>
            <w14:solidFill>
              <w14:schemeClr w14:val="tx1"/>
            </w14:solidFill>
          </w14:textFill>
        </w:rPr>
      </w:pPr>
    </w:p>
    <w:p w14:paraId="45F7428F">
      <w:pPr>
        <w:tabs>
          <w:tab w:val="left" w:pos="630"/>
        </w:tabs>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p>
    <w:p w14:paraId="39C13307">
      <w:pPr>
        <w:pStyle w:val="10"/>
        <w:ind w:left="0" w:leftChars="0"/>
        <w:rPr>
          <w:rFonts w:hint="eastAsia" w:ascii="宋体" w:hAnsi="宋体" w:eastAsia="宋体" w:cs="宋体"/>
          <w:color w:val="000000" w:themeColor="text1"/>
          <w:szCs w:val="21"/>
          <w14:textFill>
            <w14:solidFill>
              <w14:schemeClr w14:val="tx1"/>
            </w14:solidFill>
          </w14:textFill>
        </w:rPr>
      </w:pPr>
    </w:p>
    <w:bookmarkEnd w:id="210"/>
    <w:p w14:paraId="43CF6D88">
      <w:pPr>
        <w:pageBreakBefore/>
        <w:rPr>
          <w:rFonts w:hint="eastAsia" w:ascii="宋体" w:hAnsi="宋体" w:eastAsia="宋体" w:cs="宋体"/>
          <w:b/>
          <w:color w:val="000000" w:themeColor="text1"/>
          <w:sz w:val="28"/>
          <w:szCs w:val="28"/>
          <w:bdr w:val="single" w:color="000000" w:sz="4" w:space="0"/>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二、技术标格式文件</w:t>
      </w:r>
    </w:p>
    <w:p w14:paraId="07A9DA05">
      <w:pPr>
        <w:jc w:val="center"/>
        <w:rPr>
          <w:rFonts w:hint="eastAsia" w:ascii="宋体" w:hAnsi="宋体" w:eastAsia="宋体" w:cs="宋体"/>
          <w:color w:val="000000" w:themeColor="text1"/>
          <w:sz w:val="20"/>
          <w14:textFill>
            <w14:solidFill>
              <w14:schemeClr w14:val="tx1"/>
            </w14:solidFill>
          </w14:textFill>
        </w:rPr>
      </w:pPr>
    </w:p>
    <w:p w14:paraId="1A1D9C9A">
      <w:pPr>
        <w:rPr>
          <w:rFonts w:hint="eastAsia" w:ascii="宋体" w:hAnsi="宋体" w:eastAsia="宋体" w:cs="宋体"/>
          <w:color w:val="000000" w:themeColor="text1"/>
          <w:sz w:val="20"/>
          <w14:textFill>
            <w14:solidFill>
              <w14:schemeClr w14:val="tx1"/>
            </w14:solidFill>
          </w14:textFill>
        </w:rPr>
      </w:pPr>
    </w:p>
    <w:p w14:paraId="7D0D8EEB">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技术标</w:t>
      </w:r>
    </w:p>
    <w:p w14:paraId="0C30B872">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（投标文件二）</w:t>
      </w:r>
    </w:p>
    <w:p w14:paraId="4420B69E">
      <w:pPr>
        <w:jc w:val="center"/>
        <w:rPr>
          <w:rFonts w:hint="eastAsia" w:ascii="宋体" w:hAnsi="宋体" w:eastAsia="宋体" w:cs="宋体"/>
          <w:color w:val="000000" w:themeColor="text1"/>
          <w:sz w:val="44"/>
          <w:szCs w:val="44"/>
          <w14:textFill>
            <w14:solidFill>
              <w14:schemeClr w14:val="tx1"/>
            </w14:solidFill>
          </w14:textFill>
        </w:rPr>
      </w:pPr>
    </w:p>
    <w:p w14:paraId="360AB6F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single"/>
          <w14:textFill>
            <w14:solidFill>
              <w14:schemeClr w14:val="tx1"/>
            </w14:solidFill>
          </w14:textFill>
        </w:rPr>
        <w:t xml:space="preserve">        </w:t>
      </w:r>
      <w:r>
        <w:rPr>
          <w:rFonts w:hint="eastAsia" w:ascii="宋体" w:hAnsi="宋体" w:eastAsia="宋体" w:cs="宋体"/>
          <w:color w:val="000000" w:themeColor="text1"/>
          <w:sz w:val="32"/>
          <w:szCs w:val="32"/>
          <w14:textFill>
            <w14:solidFill>
              <w14:schemeClr w14:val="tx1"/>
            </w14:solidFill>
          </w14:textFill>
        </w:rPr>
        <w:t>项目</w:t>
      </w:r>
    </w:p>
    <w:p w14:paraId="541B282E">
      <w:pPr>
        <w:rPr>
          <w:rFonts w:hint="eastAsia" w:ascii="宋体" w:hAnsi="宋体" w:eastAsia="宋体" w:cs="宋体"/>
          <w:color w:val="000000" w:themeColor="text1"/>
          <w:sz w:val="28"/>
          <w:szCs w:val="28"/>
          <w14:textFill>
            <w14:solidFill>
              <w14:schemeClr w14:val="tx1"/>
            </w14:solidFill>
          </w14:textFill>
        </w:rPr>
      </w:pPr>
    </w:p>
    <w:p w14:paraId="30E15ADB">
      <w:pPr>
        <w:rPr>
          <w:rFonts w:hint="eastAsia" w:ascii="宋体" w:hAnsi="宋体" w:eastAsia="宋体" w:cs="宋体"/>
          <w:color w:val="000000" w:themeColor="text1"/>
          <w:sz w:val="28"/>
          <w:szCs w:val="28"/>
          <w14:textFill>
            <w14:solidFill>
              <w14:schemeClr w14:val="tx1"/>
            </w14:solidFill>
          </w14:textFill>
        </w:rPr>
      </w:pPr>
    </w:p>
    <w:p w14:paraId="50675DD9">
      <w:pPr>
        <w:rPr>
          <w:rFonts w:hint="eastAsia" w:ascii="宋体" w:hAnsi="宋体" w:eastAsia="宋体" w:cs="宋体"/>
          <w:color w:val="000000" w:themeColor="text1"/>
          <w:sz w:val="28"/>
          <w:szCs w:val="28"/>
          <w14:textFill>
            <w14:solidFill>
              <w14:schemeClr w14:val="tx1"/>
            </w14:solidFill>
          </w14:textFill>
        </w:rPr>
      </w:pPr>
    </w:p>
    <w:p w14:paraId="288822F4">
      <w:pPr>
        <w:rPr>
          <w:rFonts w:hint="eastAsia" w:ascii="宋体" w:hAnsi="宋体" w:eastAsia="宋体" w:cs="宋体"/>
          <w:color w:val="000000" w:themeColor="text1"/>
          <w:sz w:val="28"/>
          <w:szCs w:val="28"/>
          <w14:textFill>
            <w14:solidFill>
              <w14:schemeClr w14:val="tx1"/>
            </w14:solidFill>
          </w14:textFill>
        </w:rPr>
      </w:pPr>
    </w:p>
    <w:p w14:paraId="09B1AB4F">
      <w:pPr>
        <w:rPr>
          <w:rFonts w:hint="eastAsia" w:ascii="宋体" w:hAnsi="宋体" w:eastAsia="宋体" w:cs="宋体"/>
          <w:color w:val="000000" w:themeColor="text1"/>
          <w:sz w:val="28"/>
          <w:szCs w:val="28"/>
          <w14:textFill>
            <w14:solidFill>
              <w14:schemeClr w14:val="tx1"/>
            </w14:solidFill>
          </w14:textFill>
        </w:rPr>
      </w:pPr>
    </w:p>
    <w:p w14:paraId="00059FD0">
      <w:pPr>
        <w:rPr>
          <w:rFonts w:hint="eastAsia" w:ascii="宋体" w:hAnsi="宋体" w:eastAsia="宋体" w:cs="宋体"/>
          <w:color w:val="000000" w:themeColor="text1"/>
          <w:sz w:val="28"/>
          <w:szCs w:val="28"/>
          <w14:textFill>
            <w14:solidFill>
              <w14:schemeClr w14:val="tx1"/>
            </w14:solidFill>
          </w14:textFill>
        </w:rPr>
      </w:pPr>
    </w:p>
    <w:p w14:paraId="72D0A52F">
      <w:pPr>
        <w:rPr>
          <w:rFonts w:hint="eastAsia" w:ascii="宋体" w:hAnsi="宋体" w:eastAsia="宋体" w:cs="宋体"/>
          <w:color w:val="000000" w:themeColor="text1"/>
          <w:sz w:val="28"/>
          <w:szCs w:val="28"/>
          <w14:textFill>
            <w14:solidFill>
              <w14:schemeClr w14:val="tx1"/>
            </w14:solidFill>
          </w14:textFill>
        </w:rPr>
      </w:pPr>
    </w:p>
    <w:p w14:paraId="495DE5E0">
      <w:pPr>
        <w:jc w:val="cente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投标人：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（盖章）</w:t>
      </w:r>
    </w:p>
    <w:p w14:paraId="32489612">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（签字或盖章）</w:t>
      </w:r>
    </w:p>
    <w:p w14:paraId="25B20642">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日</w:t>
      </w:r>
    </w:p>
    <w:p w14:paraId="39A6E406">
      <w:pPr>
        <w:spacing w:line="720" w:lineRule="auto"/>
        <w:jc w:val="center"/>
        <w:rPr>
          <w:rFonts w:hint="eastAsia" w:ascii="宋体" w:hAnsi="宋体" w:eastAsia="宋体" w:cs="宋体"/>
          <w:b/>
          <w:color w:val="000000" w:themeColor="text1"/>
          <w:sz w:val="36"/>
          <w:szCs w:val="36"/>
          <w14:textFill>
            <w14:solidFill>
              <w14:schemeClr w14:val="tx1"/>
            </w14:solidFill>
          </w14:textFill>
        </w:rPr>
      </w:pPr>
    </w:p>
    <w:p w14:paraId="5286900C">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0F50FC59">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30ED8999">
      <w:pPr>
        <w:pageBreakBefore/>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目   录</w:t>
      </w:r>
    </w:p>
    <w:p w14:paraId="23C46CF4">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（1）招标文件中要求的技术标评审及技术标评分的支持资料；</w:t>
      </w:r>
    </w:p>
    <w:p w14:paraId="41949339">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（2）投标人认为需要提供的其他技术证明材料（如有）。</w:t>
      </w:r>
    </w:p>
    <w:p w14:paraId="7BE0CF97">
      <w:pPr>
        <w:pStyle w:val="10"/>
        <w:rPr>
          <w:rFonts w:hint="eastAsia" w:ascii="宋体" w:hAnsi="宋体" w:eastAsia="宋体" w:cs="宋体"/>
          <w:color w:val="000000" w:themeColor="text1"/>
          <w:sz w:val="24"/>
          <w14:textFill>
            <w14:solidFill>
              <w14:schemeClr w14:val="tx1"/>
            </w14:solidFill>
          </w14:textFill>
        </w:rPr>
      </w:pPr>
    </w:p>
    <w:p w14:paraId="7A88C48B">
      <w:pPr>
        <w:pStyle w:val="10"/>
        <w:rPr>
          <w:rFonts w:hint="eastAsia" w:ascii="宋体" w:hAnsi="宋体" w:eastAsia="宋体" w:cs="宋体"/>
          <w:color w:val="000000" w:themeColor="text1"/>
          <w:sz w:val="24"/>
          <w14:textFill>
            <w14:solidFill>
              <w14:schemeClr w14:val="tx1"/>
            </w14:solidFill>
          </w14:textFill>
        </w:rPr>
      </w:pPr>
    </w:p>
    <w:p w14:paraId="6BE90FE4">
      <w:pPr>
        <w:pStyle w:val="10"/>
        <w:rPr>
          <w:rFonts w:hint="eastAsia" w:ascii="宋体" w:hAnsi="宋体" w:eastAsia="宋体" w:cs="宋体"/>
          <w:color w:val="000000" w:themeColor="text1"/>
          <w:sz w:val="24"/>
          <w14:textFill>
            <w14:solidFill>
              <w14:schemeClr w14:val="tx1"/>
            </w14:solidFill>
          </w14:textFill>
        </w:rPr>
      </w:pPr>
    </w:p>
    <w:p w14:paraId="6713805B">
      <w:pPr>
        <w:pStyle w:val="10"/>
        <w:rPr>
          <w:rFonts w:hint="eastAsia" w:ascii="宋体" w:hAnsi="宋体" w:eastAsia="宋体" w:cs="宋体"/>
          <w:color w:val="000000" w:themeColor="text1"/>
          <w:sz w:val="24"/>
          <w14:textFill>
            <w14:solidFill>
              <w14:schemeClr w14:val="tx1"/>
            </w14:solidFill>
          </w14:textFill>
        </w:rPr>
      </w:pPr>
    </w:p>
    <w:p w14:paraId="72301DDD">
      <w:pPr>
        <w:pStyle w:val="10"/>
        <w:rPr>
          <w:rFonts w:hint="eastAsia" w:ascii="宋体" w:hAnsi="宋体" w:eastAsia="宋体" w:cs="宋体"/>
          <w:color w:val="000000" w:themeColor="text1"/>
          <w:sz w:val="24"/>
          <w14:textFill>
            <w14:solidFill>
              <w14:schemeClr w14:val="tx1"/>
            </w14:solidFill>
          </w14:textFill>
        </w:rPr>
      </w:pPr>
    </w:p>
    <w:p w14:paraId="3AF69C53">
      <w:pPr>
        <w:pStyle w:val="10"/>
        <w:rPr>
          <w:rFonts w:hint="eastAsia" w:ascii="宋体" w:hAnsi="宋体" w:eastAsia="宋体" w:cs="宋体"/>
          <w:color w:val="000000" w:themeColor="text1"/>
          <w:sz w:val="24"/>
          <w14:textFill>
            <w14:solidFill>
              <w14:schemeClr w14:val="tx1"/>
            </w14:solidFill>
          </w14:textFill>
        </w:rPr>
      </w:pPr>
    </w:p>
    <w:p w14:paraId="21D7EB81">
      <w:pPr>
        <w:pStyle w:val="10"/>
        <w:rPr>
          <w:rFonts w:hint="eastAsia" w:ascii="宋体" w:hAnsi="宋体" w:eastAsia="宋体" w:cs="宋体"/>
          <w:color w:val="000000" w:themeColor="text1"/>
          <w:sz w:val="24"/>
          <w14:textFill>
            <w14:solidFill>
              <w14:schemeClr w14:val="tx1"/>
            </w14:solidFill>
          </w14:textFill>
        </w:rPr>
      </w:pPr>
    </w:p>
    <w:p w14:paraId="7372750C">
      <w:pPr>
        <w:pStyle w:val="10"/>
        <w:rPr>
          <w:rFonts w:hint="eastAsia" w:ascii="宋体" w:hAnsi="宋体" w:eastAsia="宋体" w:cs="宋体"/>
          <w:color w:val="000000" w:themeColor="text1"/>
          <w:sz w:val="24"/>
          <w14:textFill>
            <w14:solidFill>
              <w14:schemeClr w14:val="tx1"/>
            </w14:solidFill>
          </w14:textFill>
        </w:rPr>
      </w:pPr>
    </w:p>
    <w:p w14:paraId="09014E9D">
      <w:pPr>
        <w:pStyle w:val="10"/>
        <w:rPr>
          <w:rFonts w:hint="eastAsia" w:ascii="宋体" w:hAnsi="宋体" w:eastAsia="宋体" w:cs="宋体"/>
          <w:color w:val="000000" w:themeColor="text1"/>
          <w:sz w:val="24"/>
          <w14:textFill>
            <w14:solidFill>
              <w14:schemeClr w14:val="tx1"/>
            </w14:solidFill>
          </w14:textFill>
        </w:rPr>
      </w:pPr>
    </w:p>
    <w:p w14:paraId="12319D40">
      <w:pPr>
        <w:pStyle w:val="10"/>
        <w:rPr>
          <w:rFonts w:hint="eastAsia" w:ascii="宋体" w:hAnsi="宋体" w:eastAsia="宋体" w:cs="宋体"/>
          <w:color w:val="000000" w:themeColor="text1"/>
          <w:sz w:val="24"/>
          <w14:textFill>
            <w14:solidFill>
              <w14:schemeClr w14:val="tx1"/>
            </w14:solidFill>
          </w14:textFill>
        </w:rPr>
      </w:pPr>
    </w:p>
    <w:p w14:paraId="146A6D47">
      <w:pPr>
        <w:pStyle w:val="10"/>
        <w:rPr>
          <w:rFonts w:hint="eastAsia" w:ascii="宋体" w:hAnsi="宋体" w:eastAsia="宋体" w:cs="宋体"/>
          <w:color w:val="000000" w:themeColor="text1"/>
          <w:sz w:val="24"/>
          <w14:textFill>
            <w14:solidFill>
              <w14:schemeClr w14:val="tx1"/>
            </w14:solidFill>
          </w14:textFill>
        </w:rPr>
      </w:pPr>
    </w:p>
    <w:p w14:paraId="51EF0C24">
      <w:pPr>
        <w:pStyle w:val="10"/>
        <w:rPr>
          <w:rFonts w:hint="eastAsia" w:ascii="宋体" w:hAnsi="宋体" w:eastAsia="宋体" w:cs="宋体"/>
          <w:color w:val="000000" w:themeColor="text1"/>
          <w:sz w:val="24"/>
          <w14:textFill>
            <w14:solidFill>
              <w14:schemeClr w14:val="tx1"/>
            </w14:solidFill>
          </w14:textFill>
        </w:rPr>
      </w:pPr>
    </w:p>
    <w:p w14:paraId="5AB1A8A1">
      <w:pPr>
        <w:pStyle w:val="10"/>
        <w:rPr>
          <w:rFonts w:hint="eastAsia" w:ascii="宋体" w:hAnsi="宋体" w:eastAsia="宋体" w:cs="宋体"/>
          <w:color w:val="000000" w:themeColor="text1"/>
          <w:sz w:val="24"/>
          <w14:textFill>
            <w14:solidFill>
              <w14:schemeClr w14:val="tx1"/>
            </w14:solidFill>
          </w14:textFill>
        </w:rPr>
      </w:pPr>
    </w:p>
    <w:p w14:paraId="6C9F0360">
      <w:pPr>
        <w:pStyle w:val="10"/>
        <w:rPr>
          <w:rFonts w:hint="eastAsia" w:ascii="宋体" w:hAnsi="宋体" w:eastAsia="宋体" w:cs="宋体"/>
          <w:color w:val="000000" w:themeColor="text1"/>
          <w:sz w:val="24"/>
          <w14:textFill>
            <w14:solidFill>
              <w14:schemeClr w14:val="tx1"/>
            </w14:solidFill>
          </w14:textFill>
        </w:rPr>
      </w:pPr>
    </w:p>
    <w:p w14:paraId="2B516061">
      <w:pPr>
        <w:pStyle w:val="10"/>
        <w:rPr>
          <w:rFonts w:hint="eastAsia" w:ascii="宋体" w:hAnsi="宋体" w:eastAsia="宋体" w:cs="宋体"/>
          <w:color w:val="000000" w:themeColor="text1"/>
          <w:sz w:val="24"/>
          <w14:textFill>
            <w14:solidFill>
              <w14:schemeClr w14:val="tx1"/>
            </w14:solidFill>
          </w14:textFill>
        </w:rPr>
      </w:pPr>
    </w:p>
    <w:p w14:paraId="6BEB2F4B">
      <w:pPr>
        <w:pStyle w:val="10"/>
        <w:rPr>
          <w:rFonts w:hint="eastAsia" w:ascii="宋体" w:hAnsi="宋体" w:eastAsia="宋体" w:cs="宋体"/>
          <w:color w:val="000000" w:themeColor="text1"/>
          <w:sz w:val="24"/>
          <w14:textFill>
            <w14:solidFill>
              <w14:schemeClr w14:val="tx1"/>
            </w14:solidFill>
          </w14:textFill>
        </w:rPr>
      </w:pPr>
    </w:p>
    <w:p w14:paraId="38824A15">
      <w:pPr>
        <w:pStyle w:val="10"/>
        <w:rPr>
          <w:rFonts w:hint="eastAsia" w:ascii="宋体" w:hAnsi="宋体" w:eastAsia="宋体" w:cs="宋体"/>
          <w:color w:val="000000" w:themeColor="text1"/>
          <w:sz w:val="24"/>
          <w14:textFill>
            <w14:solidFill>
              <w14:schemeClr w14:val="tx1"/>
            </w14:solidFill>
          </w14:textFill>
        </w:rPr>
      </w:pPr>
    </w:p>
    <w:p w14:paraId="7960C897">
      <w:pPr>
        <w:pStyle w:val="10"/>
        <w:rPr>
          <w:rFonts w:hint="eastAsia" w:ascii="宋体" w:hAnsi="宋体" w:eastAsia="宋体" w:cs="宋体"/>
          <w:color w:val="000000" w:themeColor="text1"/>
          <w:sz w:val="24"/>
          <w14:textFill>
            <w14:solidFill>
              <w14:schemeClr w14:val="tx1"/>
            </w14:solidFill>
          </w14:textFill>
        </w:rPr>
      </w:pPr>
    </w:p>
    <w:p w14:paraId="10FC3534">
      <w:pPr>
        <w:pStyle w:val="10"/>
        <w:rPr>
          <w:rFonts w:hint="eastAsia" w:ascii="宋体" w:hAnsi="宋体" w:eastAsia="宋体" w:cs="宋体"/>
          <w:color w:val="000000" w:themeColor="text1"/>
          <w:sz w:val="24"/>
          <w14:textFill>
            <w14:solidFill>
              <w14:schemeClr w14:val="tx1"/>
            </w14:solidFill>
          </w14:textFill>
        </w:rPr>
      </w:pPr>
    </w:p>
    <w:p w14:paraId="3691D88B">
      <w:pPr>
        <w:pStyle w:val="10"/>
        <w:rPr>
          <w:rFonts w:hint="eastAsia" w:ascii="宋体" w:hAnsi="宋体" w:eastAsia="宋体" w:cs="宋体"/>
          <w:color w:val="000000" w:themeColor="text1"/>
          <w:sz w:val="24"/>
          <w14:textFill>
            <w14:solidFill>
              <w14:schemeClr w14:val="tx1"/>
            </w14:solidFill>
          </w14:textFill>
        </w:rPr>
      </w:pPr>
    </w:p>
    <w:p w14:paraId="142D1F5F">
      <w:pPr>
        <w:pStyle w:val="10"/>
        <w:rPr>
          <w:rFonts w:hint="eastAsia" w:ascii="宋体" w:hAnsi="宋体" w:eastAsia="宋体" w:cs="宋体"/>
          <w:color w:val="000000" w:themeColor="text1"/>
          <w:sz w:val="24"/>
          <w14:textFill>
            <w14:solidFill>
              <w14:schemeClr w14:val="tx1"/>
            </w14:solidFill>
          </w14:textFill>
        </w:rPr>
      </w:pPr>
    </w:p>
    <w:p w14:paraId="22192EF2">
      <w:pPr>
        <w:pStyle w:val="10"/>
        <w:rPr>
          <w:rFonts w:hint="eastAsia" w:ascii="宋体" w:hAnsi="宋体" w:eastAsia="宋体" w:cs="宋体"/>
          <w:color w:val="000000" w:themeColor="text1"/>
          <w:sz w:val="24"/>
          <w14:textFill>
            <w14:solidFill>
              <w14:schemeClr w14:val="tx1"/>
            </w14:solidFill>
          </w14:textFill>
        </w:rPr>
      </w:pPr>
    </w:p>
    <w:p w14:paraId="3B2AAC91">
      <w:pPr>
        <w:pStyle w:val="10"/>
        <w:rPr>
          <w:rFonts w:hint="eastAsia" w:ascii="宋体" w:hAnsi="宋体" w:eastAsia="宋体" w:cs="宋体"/>
          <w:color w:val="000000" w:themeColor="text1"/>
          <w:sz w:val="24"/>
          <w14:textFill>
            <w14:solidFill>
              <w14:schemeClr w14:val="tx1"/>
            </w14:solidFill>
          </w14:textFill>
        </w:rPr>
      </w:pPr>
    </w:p>
    <w:p w14:paraId="6F2B086C">
      <w:pPr>
        <w:pStyle w:val="10"/>
        <w:rPr>
          <w:rFonts w:hint="eastAsia" w:ascii="宋体" w:hAnsi="宋体" w:eastAsia="宋体" w:cs="宋体"/>
          <w:color w:val="000000" w:themeColor="text1"/>
          <w:sz w:val="24"/>
          <w14:textFill>
            <w14:solidFill>
              <w14:schemeClr w14:val="tx1"/>
            </w14:solidFill>
          </w14:textFill>
        </w:rPr>
      </w:pPr>
    </w:p>
    <w:p w14:paraId="60EEF797">
      <w:pPr>
        <w:pStyle w:val="10"/>
        <w:rPr>
          <w:rFonts w:hint="eastAsia" w:ascii="宋体" w:hAnsi="宋体" w:eastAsia="宋体" w:cs="宋体"/>
          <w:color w:val="000000" w:themeColor="text1"/>
          <w:sz w:val="24"/>
          <w14:textFill>
            <w14:solidFill>
              <w14:schemeClr w14:val="tx1"/>
            </w14:solidFill>
          </w14:textFill>
        </w:rPr>
      </w:pPr>
    </w:p>
    <w:p w14:paraId="4A9D4C79">
      <w:pPr>
        <w:pStyle w:val="10"/>
        <w:rPr>
          <w:rFonts w:hint="eastAsia" w:ascii="宋体" w:hAnsi="宋体" w:eastAsia="宋体" w:cs="宋体"/>
          <w:color w:val="000000" w:themeColor="text1"/>
          <w:sz w:val="24"/>
          <w14:textFill>
            <w14:solidFill>
              <w14:schemeClr w14:val="tx1"/>
            </w14:solidFill>
          </w14:textFill>
        </w:rPr>
      </w:pPr>
    </w:p>
    <w:p w14:paraId="0F8B9806">
      <w:pPr>
        <w:pStyle w:val="10"/>
        <w:rPr>
          <w:rFonts w:hint="eastAsia" w:ascii="宋体" w:hAnsi="宋体" w:eastAsia="宋体" w:cs="宋体"/>
          <w:color w:val="000000" w:themeColor="text1"/>
          <w:sz w:val="24"/>
          <w14:textFill>
            <w14:solidFill>
              <w14:schemeClr w14:val="tx1"/>
            </w14:solidFill>
          </w14:textFill>
        </w:rPr>
      </w:pPr>
    </w:p>
    <w:p w14:paraId="7953DE64">
      <w:pPr>
        <w:pStyle w:val="10"/>
        <w:rPr>
          <w:rFonts w:hint="eastAsia" w:ascii="宋体" w:hAnsi="宋体" w:eastAsia="宋体" w:cs="宋体"/>
          <w:color w:val="000000" w:themeColor="text1"/>
          <w:sz w:val="24"/>
          <w14:textFill>
            <w14:solidFill>
              <w14:schemeClr w14:val="tx1"/>
            </w14:solidFill>
          </w14:textFill>
        </w:rPr>
      </w:pPr>
    </w:p>
    <w:p w14:paraId="218795B8">
      <w:pPr>
        <w:widowControl/>
        <w:spacing w:line="440" w:lineRule="exact"/>
        <w:jc w:val="left"/>
        <w:rPr>
          <w:rFonts w:hint="eastAsia" w:ascii="宋体" w:hAnsi="宋体" w:eastAsia="宋体" w:cs="宋体"/>
          <w:b/>
          <w:color w:val="000000" w:themeColor="text1"/>
          <w:sz w:val="28"/>
          <w:szCs w:val="28"/>
          <w:bdr w:val="single" w:color="000000" w:sz="4" w:space="0"/>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三、商务标格式文件</w:t>
      </w:r>
    </w:p>
    <w:p w14:paraId="69878331">
      <w:pPr>
        <w:jc w:val="center"/>
        <w:rPr>
          <w:rFonts w:hint="eastAsia" w:ascii="宋体" w:hAnsi="宋体" w:eastAsia="宋体" w:cs="宋体"/>
          <w:color w:val="000000" w:themeColor="text1"/>
          <w:sz w:val="20"/>
          <w14:textFill>
            <w14:solidFill>
              <w14:schemeClr w14:val="tx1"/>
            </w14:solidFill>
          </w14:textFill>
        </w:rPr>
      </w:pPr>
    </w:p>
    <w:p w14:paraId="0EC0D65B">
      <w:pPr>
        <w:rPr>
          <w:rFonts w:hint="eastAsia" w:ascii="宋体" w:hAnsi="宋体" w:eastAsia="宋体" w:cs="宋体"/>
          <w:color w:val="000000" w:themeColor="text1"/>
          <w:sz w:val="20"/>
          <w14:textFill>
            <w14:solidFill>
              <w14:schemeClr w14:val="tx1"/>
            </w14:solidFill>
          </w14:textFill>
        </w:rPr>
      </w:pPr>
    </w:p>
    <w:p w14:paraId="16EC1596">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商务标</w:t>
      </w:r>
    </w:p>
    <w:p w14:paraId="7A04DBA1">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（投标文件三）</w:t>
      </w:r>
    </w:p>
    <w:p w14:paraId="276A9BE9">
      <w:pPr>
        <w:jc w:val="center"/>
        <w:rPr>
          <w:rFonts w:hint="eastAsia" w:ascii="宋体" w:hAnsi="宋体" w:eastAsia="宋体" w:cs="宋体"/>
          <w:color w:val="000000" w:themeColor="text1"/>
          <w:sz w:val="44"/>
          <w:szCs w:val="44"/>
          <w14:textFill>
            <w14:solidFill>
              <w14:schemeClr w14:val="tx1"/>
            </w14:solidFill>
          </w14:textFill>
        </w:rPr>
      </w:pPr>
    </w:p>
    <w:p w14:paraId="3FEC0D31">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single"/>
          <w14:textFill>
            <w14:solidFill>
              <w14:schemeClr w14:val="tx1"/>
            </w14:solidFill>
          </w14:textFill>
        </w:rPr>
        <w:t xml:space="preserve">        </w:t>
      </w:r>
      <w:r>
        <w:rPr>
          <w:rFonts w:hint="eastAsia" w:ascii="宋体" w:hAnsi="宋体" w:eastAsia="宋体" w:cs="宋体"/>
          <w:color w:val="000000" w:themeColor="text1"/>
          <w:sz w:val="32"/>
          <w:szCs w:val="32"/>
          <w14:textFill>
            <w14:solidFill>
              <w14:schemeClr w14:val="tx1"/>
            </w14:solidFill>
          </w14:textFill>
        </w:rPr>
        <w:t>项目</w:t>
      </w:r>
    </w:p>
    <w:p w14:paraId="5DC2D895">
      <w:pPr>
        <w:rPr>
          <w:rFonts w:hint="eastAsia" w:ascii="宋体" w:hAnsi="宋体" w:eastAsia="宋体" w:cs="宋体"/>
          <w:color w:val="000000" w:themeColor="text1"/>
          <w:sz w:val="28"/>
          <w:szCs w:val="28"/>
          <w14:textFill>
            <w14:solidFill>
              <w14:schemeClr w14:val="tx1"/>
            </w14:solidFill>
          </w14:textFill>
        </w:rPr>
      </w:pPr>
    </w:p>
    <w:p w14:paraId="16FBA66C">
      <w:pPr>
        <w:rPr>
          <w:rFonts w:hint="eastAsia" w:ascii="宋体" w:hAnsi="宋体" w:eastAsia="宋体" w:cs="宋体"/>
          <w:color w:val="000000" w:themeColor="text1"/>
          <w:sz w:val="28"/>
          <w:szCs w:val="28"/>
          <w14:textFill>
            <w14:solidFill>
              <w14:schemeClr w14:val="tx1"/>
            </w14:solidFill>
          </w14:textFill>
        </w:rPr>
      </w:pPr>
    </w:p>
    <w:p w14:paraId="4F2C2BFD">
      <w:pPr>
        <w:rPr>
          <w:rFonts w:hint="eastAsia" w:ascii="宋体" w:hAnsi="宋体" w:eastAsia="宋体" w:cs="宋体"/>
          <w:color w:val="000000" w:themeColor="text1"/>
          <w:sz w:val="28"/>
          <w:szCs w:val="28"/>
          <w14:textFill>
            <w14:solidFill>
              <w14:schemeClr w14:val="tx1"/>
            </w14:solidFill>
          </w14:textFill>
        </w:rPr>
      </w:pPr>
    </w:p>
    <w:p w14:paraId="6CA06FEF">
      <w:pPr>
        <w:rPr>
          <w:rFonts w:hint="eastAsia" w:ascii="宋体" w:hAnsi="宋体" w:eastAsia="宋体" w:cs="宋体"/>
          <w:color w:val="000000" w:themeColor="text1"/>
          <w:sz w:val="28"/>
          <w:szCs w:val="28"/>
          <w14:textFill>
            <w14:solidFill>
              <w14:schemeClr w14:val="tx1"/>
            </w14:solidFill>
          </w14:textFill>
        </w:rPr>
      </w:pPr>
    </w:p>
    <w:p w14:paraId="61F31AA9">
      <w:pPr>
        <w:rPr>
          <w:rFonts w:hint="eastAsia" w:ascii="宋体" w:hAnsi="宋体" w:eastAsia="宋体" w:cs="宋体"/>
          <w:color w:val="000000" w:themeColor="text1"/>
          <w:sz w:val="28"/>
          <w:szCs w:val="28"/>
          <w14:textFill>
            <w14:solidFill>
              <w14:schemeClr w14:val="tx1"/>
            </w14:solidFill>
          </w14:textFill>
        </w:rPr>
      </w:pPr>
    </w:p>
    <w:p w14:paraId="4652A288">
      <w:pPr>
        <w:rPr>
          <w:rFonts w:hint="eastAsia" w:ascii="宋体" w:hAnsi="宋体" w:eastAsia="宋体" w:cs="宋体"/>
          <w:color w:val="000000" w:themeColor="text1"/>
          <w:sz w:val="28"/>
          <w:szCs w:val="28"/>
          <w14:textFill>
            <w14:solidFill>
              <w14:schemeClr w14:val="tx1"/>
            </w14:solidFill>
          </w14:textFill>
        </w:rPr>
      </w:pPr>
    </w:p>
    <w:p w14:paraId="6B320CC7">
      <w:pPr>
        <w:rPr>
          <w:rFonts w:hint="eastAsia" w:ascii="宋体" w:hAnsi="宋体" w:eastAsia="宋体" w:cs="宋体"/>
          <w:color w:val="000000" w:themeColor="text1"/>
          <w:sz w:val="28"/>
          <w:szCs w:val="28"/>
          <w14:textFill>
            <w14:solidFill>
              <w14:schemeClr w14:val="tx1"/>
            </w14:solidFill>
          </w14:textFill>
        </w:rPr>
      </w:pPr>
    </w:p>
    <w:p w14:paraId="7A21122B">
      <w:pPr>
        <w:jc w:val="cente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投标人：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（盖章）</w:t>
      </w:r>
    </w:p>
    <w:p w14:paraId="61C300C4">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（签字或盖章）</w:t>
      </w:r>
    </w:p>
    <w:p w14:paraId="110156DE">
      <w:pPr>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日</w:t>
      </w:r>
    </w:p>
    <w:p w14:paraId="7B6E3931">
      <w:pPr>
        <w:spacing w:line="720" w:lineRule="auto"/>
        <w:jc w:val="center"/>
        <w:rPr>
          <w:rFonts w:hint="eastAsia" w:ascii="宋体" w:hAnsi="宋体" w:eastAsia="宋体" w:cs="宋体"/>
          <w:b/>
          <w:color w:val="000000" w:themeColor="text1"/>
          <w:sz w:val="36"/>
          <w:szCs w:val="36"/>
          <w14:textFill>
            <w14:solidFill>
              <w14:schemeClr w14:val="tx1"/>
            </w14:solidFill>
          </w14:textFill>
        </w:rPr>
      </w:pPr>
    </w:p>
    <w:p w14:paraId="4E9515FE">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4879A197">
      <w:pPr>
        <w:spacing w:line="400" w:lineRule="exact"/>
        <w:ind w:firstLine="4130" w:firstLineChars="935"/>
        <w:rPr>
          <w:rFonts w:hint="eastAsia" w:ascii="宋体" w:hAnsi="宋体" w:eastAsia="宋体" w:cs="宋体"/>
          <w:b/>
          <w:color w:val="000000" w:themeColor="text1"/>
          <w:sz w:val="44"/>
          <w:szCs w:val="44"/>
          <w14:textFill>
            <w14:solidFill>
              <w14:schemeClr w14:val="tx1"/>
            </w14:solidFill>
          </w14:textFill>
        </w:rPr>
      </w:pPr>
    </w:p>
    <w:p w14:paraId="7D390268">
      <w:pPr>
        <w:pageBreakBefore/>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目   录</w:t>
      </w:r>
    </w:p>
    <w:p w14:paraId="0F1E46D8">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（1）开标一览表（格式见附件）；</w:t>
      </w:r>
    </w:p>
    <w:p w14:paraId="17909813">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（2）投标函（格式见附件）；</w:t>
      </w:r>
    </w:p>
    <w:p w14:paraId="2126CEF2">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（3）投标响应表（格式见附件）</w:t>
      </w:r>
    </w:p>
    <w:p w14:paraId="68DDDCAC">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（4）招标文件商务评审中要求提供的其他相关资料；</w:t>
      </w:r>
    </w:p>
    <w:p w14:paraId="2267AC9F">
      <w:pPr>
        <w:spacing w:line="44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（5）投标人认为需要提供的其他材料。</w:t>
      </w:r>
    </w:p>
    <w:p w14:paraId="7E560615">
      <w:pPr>
        <w:spacing w:line="440" w:lineRule="exact"/>
        <w:rPr>
          <w:rFonts w:hint="eastAsia" w:ascii="宋体" w:hAnsi="宋体" w:eastAsia="宋体" w:cs="宋体"/>
          <w:color w:val="000000" w:themeColor="text1"/>
          <w:sz w:val="24"/>
          <w:szCs w:val="24"/>
          <w14:textFill>
            <w14:solidFill>
              <w14:schemeClr w14:val="tx1"/>
            </w14:solidFill>
          </w14:textFill>
        </w:rPr>
      </w:pPr>
    </w:p>
    <w:p w14:paraId="453447EB">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（1）开标一览表</w:t>
      </w:r>
      <w:bookmarkEnd w:id="203"/>
      <w:bookmarkEnd w:id="204"/>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19DA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01B7D89E">
            <w:pPr>
              <w:widowControl/>
              <w:spacing w:line="44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项目名称</w:t>
            </w:r>
          </w:p>
        </w:tc>
        <w:tc>
          <w:tcPr>
            <w:tcW w:w="3648" w:type="pct"/>
            <w:tcBorders>
              <w:top w:val="single" w:color="auto" w:sz="4" w:space="0"/>
              <w:bottom w:val="single" w:color="auto" w:sz="4" w:space="0"/>
              <w:right w:val="single" w:color="auto" w:sz="4" w:space="0"/>
            </w:tcBorders>
            <w:vAlign w:val="center"/>
          </w:tcPr>
          <w:p w14:paraId="04FDDB80">
            <w:pPr>
              <w:spacing w:line="440" w:lineRule="exact"/>
              <w:jc w:val="center"/>
              <w:rPr>
                <w:rFonts w:hint="eastAsia" w:ascii="宋体" w:hAnsi="宋体" w:eastAsia="宋体" w:cs="宋体"/>
                <w:bCs/>
                <w:color w:val="000000" w:themeColor="text1"/>
                <w:sz w:val="24"/>
                <w:u w:val="single"/>
                <w14:textFill>
                  <w14:solidFill>
                    <w14:schemeClr w14:val="tx1"/>
                  </w14:solidFill>
                </w14:textFill>
              </w:rPr>
            </w:pPr>
          </w:p>
        </w:tc>
      </w:tr>
      <w:tr w14:paraId="7A7A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D01C5EA">
            <w:pPr>
              <w:spacing w:line="44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投标人全称</w:t>
            </w:r>
          </w:p>
        </w:tc>
        <w:tc>
          <w:tcPr>
            <w:tcW w:w="3648" w:type="pct"/>
            <w:tcBorders>
              <w:top w:val="nil"/>
            </w:tcBorders>
            <w:vAlign w:val="center"/>
          </w:tcPr>
          <w:p w14:paraId="78128B64">
            <w:pPr>
              <w:spacing w:line="440" w:lineRule="exact"/>
              <w:rPr>
                <w:rFonts w:hint="eastAsia" w:ascii="宋体" w:hAnsi="宋体" w:eastAsia="宋体" w:cs="宋体"/>
                <w:color w:val="000000" w:themeColor="text1"/>
                <w:sz w:val="24"/>
                <w14:textFill>
                  <w14:solidFill>
                    <w14:schemeClr w14:val="tx1"/>
                  </w14:solidFill>
                </w14:textFill>
              </w:rPr>
            </w:pPr>
          </w:p>
        </w:tc>
      </w:tr>
      <w:tr w14:paraId="697A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7C52372">
            <w:pPr>
              <w:spacing w:line="44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投标范围</w:t>
            </w:r>
          </w:p>
        </w:tc>
        <w:tc>
          <w:tcPr>
            <w:tcW w:w="3648" w:type="pct"/>
            <w:tcBorders>
              <w:top w:val="nil"/>
            </w:tcBorders>
            <w:vAlign w:val="center"/>
          </w:tcPr>
          <w:p w14:paraId="70EDAFB1">
            <w:pPr>
              <w:widowControl/>
              <w:spacing w:line="44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全部</w:t>
            </w:r>
          </w:p>
        </w:tc>
      </w:tr>
      <w:tr w14:paraId="0A18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5" w:hRule="atLeast"/>
          <w:jc w:val="center"/>
        </w:trPr>
        <w:tc>
          <w:tcPr>
            <w:tcW w:w="1352" w:type="pct"/>
            <w:tcBorders>
              <w:top w:val="nil"/>
            </w:tcBorders>
            <w:vAlign w:val="center"/>
          </w:tcPr>
          <w:p w14:paraId="0A513123">
            <w:pPr>
              <w:spacing w:line="44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投标总报价</w:t>
            </w:r>
          </w:p>
        </w:tc>
        <w:tc>
          <w:tcPr>
            <w:tcW w:w="3648" w:type="pct"/>
            <w:tcBorders>
              <w:top w:val="nil"/>
            </w:tcBorders>
            <w:vAlign w:val="center"/>
          </w:tcPr>
          <w:p w14:paraId="67D6BC6B">
            <w:pPr>
              <w:snapToGrid w:val="0"/>
              <w:spacing w:line="440" w:lineRule="exact"/>
              <w:jc w:val="left"/>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大写：</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34073142">
            <w:pPr>
              <w:snapToGrid w:val="0"/>
              <w:spacing w:line="440" w:lineRule="exact"/>
              <w:jc w:val="left"/>
              <w:rPr>
                <w:rFonts w:hint="eastAsia" w:ascii="宋体" w:hAnsi="宋体" w:eastAsia="宋体" w:cs="宋体"/>
                <w:bCs/>
                <w:color w:val="000000" w:themeColor="text1"/>
                <w:sz w:val="24"/>
                <w:szCs w:val="24"/>
                <w:u w:val="single"/>
                <w14:textFill>
                  <w14:solidFill>
                    <w14:schemeClr w14:val="tx1"/>
                  </w14:solidFill>
                </w14:textFill>
              </w:rPr>
            </w:pPr>
          </w:p>
          <w:p w14:paraId="12F98965">
            <w:pPr>
              <w:spacing w:line="440" w:lineRule="exact"/>
              <w:ind w:right="-67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小写：</w:t>
            </w:r>
            <w:r>
              <w:rPr>
                <w:rFonts w:hint="eastAsia" w:ascii="宋体" w:hAnsi="宋体" w:eastAsia="宋体" w:cs="宋体"/>
                <w:bCs/>
                <w:color w:val="000000" w:themeColor="text1"/>
                <w:sz w:val="24"/>
                <w:szCs w:val="24"/>
                <w:u w:val="single"/>
                <w14:textFill>
                  <w14:solidFill>
                    <w14:schemeClr w14:val="tx1"/>
                  </w14:solidFill>
                </w14:textFill>
              </w:rPr>
              <w:t xml:space="preserve">                         </w:t>
            </w:r>
          </w:p>
        </w:tc>
      </w:tr>
      <w:tr w14:paraId="6198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4" w:hRule="atLeast"/>
          <w:jc w:val="center"/>
        </w:trPr>
        <w:tc>
          <w:tcPr>
            <w:tcW w:w="1352" w:type="pct"/>
            <w:tcBorders>
              <w:top w:val="nil"/>
            </w:tcBorders>
            <w:vAlign w:val="center"/>
          </w:tcPr>
          <w:p w14:paraId="6EF3FC0C">
            <w:pPr>
              <w:spacing w:line="44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其他</w:t>
            </w:r>
          </w:p>
        </w:tc>
        <w:tc>
          <w:tcPr>
            <w:tcW w:w="3648" w:type="pct"/>
            <w:tcBorders>
              <w:top w:val="nil"/>
            </w:tcBorders>
            <w:vAlign w:val="center"/>
          </w:tcPr>
          <w:p w14:paraId="211945D5">
            <w:pPr>
              <w:spacing w:line="440" w:lineRule="exact"/>
              <w:jc w:val="left"/>
              <w:rPr>
                <w:rFonts w:hint="eastAsia" w:ascii="宋体" w:hAnsi="宋体" w:eastAsia="宋体" w:cs="宋体"/>
                <w:color w:val="000000" w:themeColor="text1"/>
                <w:sz w:val="24"/>
                <w:szCs w:val="28"/>
                <w14:textFill>
                  <w14:solidFill>
                    <w14:schemeClr w14:val="tx1"/>
                  </w14:solidFill>
                </w14:textFill>
              </w:rPr>
            </w:pPr>
          </w:p>
        </w:tc>
      </w:tr>
    </w:tbl>
    <w:p w14:paraId="3BCCDD24">
      <w:pPr>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投标人盖章：</w:t>
      </w:r>
      <w:r>
        <w:rPr>
          <w:rFonts w:hint="eastAsia" w:ascii="宋体" w:hAnsi="宋体" w:eastAsia="宋体" w:cs="宋体"/>
          <w:color w:val="000000" w:themeColor="text1"/>
          <w:sz w:val="24"/>
          <w:u w:val="single"/>
          <w14:textFill>
            <w14:solidFill>
              <w14:schemeClr w14:val="tx1"/>
            </w14:solidFill>
          </w14:textFill>
        </w:rPr>
        <w:t xml:space="preserve">             </w:t>
      </w:r>
    </w:p>
    <w:p w14:paraId="3D4C8D9D">
      <w:pPr>
        <w:tabs>
          <w:tab w:val="left" w:pos="630"/>
        </w:tabs>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日      期：</w:t>
      </w:r>
      <w:r>
        <w:rPr>
          <w:rFonts w:hint="eastAsia" w:ascii="宋体" w:hAnsi="宋体" w:eastAsia="宋体" w:cs="宋体"/>
          <w:color w:val="000000" w:themeColor="text1"/>
          <w:sz w:val="24"/>
          <w:u w:val="single"/>
          <w14:textFill>
            <w14:solidFill>
              <w14:schemeClr w14:val="tx1"/>
            </w14:solidFill>
          </w14:textFill>
        </w:rPr>
        <w:t xml:space="preserve">             </w:t>
      </w:r>
    </w:p>
    <w:p w14:paraId="3CE18A37">
      <w:pPr>
        <w:spacing w:line="440" w:lineRule="exact"/>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注：</w:t>
      </w:r>
    </w:p>
    <w:p w14:paraId="33803314">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1.此表用于开标唱标之用。</w:t>
      </w:r>
    </w:p>
    <w:p w14:paraId="58344A99">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2.表中投标报价即为优惠后报价，并作为评审及定标依据。任何有选择或有条件的投标报价，或者表中某一包别填写多个报价，均为无效报价。</w:t>
      </w:r>
    </w:p>
    <w:p w14:paraId="691EC298">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3.表中大写金额与小写金额不一致的，以大写金额为准。</w:t>
      </w:r>
      <w:r>
        <w:rPr>
          <w:rFonts w:hint="eastAsia" w:ascii="宋体" w:hAnsi="宋体" w:eastAsia="宋体" w:cs="宋体"/>
          <w:color w:val="000000" w:themeColor="text1"/>
          <w:sz w:val="24"/>
          <w14:textFill>
            <w14:solidFill>
              <w14:schemeClr w14:val="tx1"/>
            </w14:solidFill>
          </w14:textFill>
        </w:rPr>
        <w:br w:type="page"/>
      </w:r>
    </w:p>
    <w:p w14:paraId="5C1C3A74">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bookmarkStart w:id="211" w:name="_Toc6441"/>
      <w:bookmarkStart w:id="212" w:name="_Toc6120"/>
      <w:r>
        <w:rPr>
          <w:rFonts w:hint="eastAsia" w:ascii="宋体" w:hAnsi="宋体" w:eastAsia="宋体" w:cs="宋体"/>
          <w:b/>
          <w:color w:val="000000" w:themeColor="text1"/>
          <w:sz w:val="28"/>
          <w:szCs w:val="28"/>
          <w14:textFill>
            <w14:solidFill>
              <w14:schemeClr w14:val="tx1"/>
            </w14:solidFill>
          </w14:textFill>
        </w:rPr>
        <w:t>（2）投标函</w:t>
      </w:r>
      <w:bookmarkEnd w:id="211"/>
      <w:bookmarkEnd w:id="212"/>
    </w:p>
    <w:p w14:paraId="41FB49EF">
      <w:pPr>
        <w:pStyle w:val="13"/>
        <w:spacing w:line="440" w:lineRule="exact"/>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致：</w:t>
      </w:r>
      <w:r>
        <w:rPr>
          <w:rFonts w:hint="eastAsia" w:ascii="宋体" w:hAnsi="宋体" w:cs="宋体"/>
          <w:color w:val="000000" w:themeColor="text1"/>
          <w:sz w:val="24"/>
          <w:u w:val="single"/>
          <w14:textFill>
            <w14:solidFill>
              <w14:schemeClr w14:val="tx1"/>
            </w14:solidFill>
          </w14:textFill>
        </w:rPr>
        <w:t>采购人</w:t>
      </w:r>
    </w:p>
    <w:p w14:paraId="60502ED6">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根据贵方的招标公告和投标邀请，我方兹宣布同意如下：</w:t>
      </w:r>
    </w:p>
    <w:p w14:paraId="7F21BFD9">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我方根据招标文件的规定，严格履行合同的责任和义务，并保证于买方要求的日期内完成，并通过买方验收。</w:t>
      </w:r>
    </w:p>
    <w:p w14:paraId="4CC9EE8D">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2.我方已详细审核全部招标文件，包括招标文件附件及更正公告（如有），我方正式认可并遵守本次招标文件，并对招标文件各项条款、规定及要求均无异议。</w:t>
      </w:r>
    </w:p>
    <w:p w14:paraId="79D187D6">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3.我方同意从招标文件规定的开标日期起遵循本招标文件，并在招标文件规定的投标有效期之前均具有约束力。</w:t>
      </w:r>
    </w:p>
    <w:p w14:paraId="76551D2B">
      <w:pPr>
        <w:spacing w:line="440" w:lineRule="exact"/>
        <w:ind w:firstLine="4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3A4CE159">
      <w:pPr>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p>
    <w:p w14:paraId="326DEE5F">
      <w:pPr>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投标人盖章：</w:t>
      </w:r>
      <w:r>
        <w:rPr>
          <w:rFonts w:hint="eastAsia" w:ascii="宋体" w:hAnsi="宋体" w:eastAsia="宋体" w:cs="宋体"/>
          <w:color w:val="000000" w:themeColor="text1"/>
          <w:sz w:val="24"/>
          <w:u w:val="single"/>
          <w14:textFill>
            <w14:solidFill>
              <w14:schemeClr w14:val="tx1"/>
            </w14:solidFill>
          </w14:textFill>
        </w:rPr>
        <w:t xml:space="preserve">             </w:t>
      </w:r>
    </w:p>
    <w:p w14:paraId="3E5E8096">
      <w:pPr>
        <w:spacing w:line="440" w:lineRule="exact"/>
        <w:ind w:firstLine="4800" w:firstLineChars="20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日      期：</w:t>
      </w:r>
      <w:r>
        <w:rPr>
          <w:rFonts w:hint="eastAsia" w:ascii="宋体" w:hAnsi="宋体" w:eastAsia="宋体" w:cs="宋体"/>
          <w:color w:val="000000" w:themeColor="text1"/>
          <w:sz w:val="24"/>
          <w:u w:val="single"/>
          <w14:textFill>
            <w14:solidFill>
              <w14:schemeClr w14:val="tx1"/>
            </w14:solidFill>
          </w14:textFill>
        </w:rPr>
        <w:t xml:space="preserve">             </w:t>
      </w:r>
    </w:p>
    <w:p w14:paraId="4A77DEAC">
      <w:pPr>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u w:val="single"/>
          <w14:textFill>
            <w14:solidFill>
              <w14:schemeClr w14:val="tx1"/>
            </w14:solidFill>
          </w14:textFill>
        </w:rPr>
        <w:br w:type="page"/>
      </w:r>
      <w:bookmarkStart w:id="213" w:name="_Toc6435"/>
      <w:bookmarkStart w:id="214" w:name="_Toc20819"/>
    </w:p>
    <w:bookmarkEnd w:id="213"/>
    <w:bookmarkEnd w:id="214"/>
    <w:p w14:paraId="73A640B3">
      <w:pPr>
        <w:pageBreakBefore/>
        <w:spacing w:line="440" w:lineRule="exact"/>
        <w:jc w:val="center"/>
        <w:outlineLvl w:val="1"/>
        <w:rPr>
          <w:rFonts w:hint="eastAsia" w:ascii="宋体" w:hAnsi="宋体" w:eastAsia="宋体" w:cs="宋体"/>
          <w:b/>
          <w:color w:val="000000" w:themeColor="text1"/>
          <w:sz w:val="28"/>
          <w:szCs w:val="28"/>
          <w14:textFill>
            <w14:solidFill>
              <w14:schemeClr w14:val="tx1"/>
            </w14:solidFill>
          </w14:textFill>
        </w:rPr>
      </w:pPr>
      <w:bookmarkStart w:id="215" w:name="OLE_LINK7"/>
      <w:bookmarkStart w:id="216" w:name="OLE_LINK25"/>
      <w:bookmarkStart w:id="217" w:name="OLE_LINK24"/>
      <w:r>
        <w:rPr>
          <w:rFonts w:hint="eastAsia" w:ascii="宋体" w:hAnsi="宋体" w:eastAsia="宋体" w:cs="宋体"/>
          <w:b/>
          <w:color w:val="000000" w:themeColor="text1"/>
          <w:sz w:val="28"/>
          <w:szCs w:val="28"/>
          <w14:textFill>
            <w14:solidFill>
              <w14:schemeClr w14:val="tx1"/>
            </w14:solidFill>
          </w14:textFill>
        </w:rPr>
        <w:t>（3）投标响应表</w:t>
      </w:r>
    </w:p>
    <w:p w14:paraId="4C0D1986">
      <w:pPr>
        <w:spacing w:line="440" w:lineRule="exact"/>
        <w:ind w:firstLine="435"/>
        <w:outlineLvl w:val="2"/>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3.1商务响应表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6596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D990552">
            <w:pPr>
              <w:pStyle w:val="12"/>
              <w:spacing w:line="440" w:lineRule="exact"/>
              <w:jc w:val="center"/>
              <w:rPr>
                <w:rFonts w:hint="eastAsia" w:hAnsi="宋体" w:eastAsia="宋体" w:cs="宋体"/>
                <w:b/>
                <w:color w:val="000000" w:themeColor="text1"/>
                <w:sz w:val="24"/>
                <w14:textFill>
                  <w14:solidFill>
                    <w14:schemeClr w14:val="tx1"/>
                  </w14:solidFill>
                </w14:textFill>
              </w:rPr>
            </w:pPr>
            <w:r>
              <w:rPr>
                <w:rFonts w:hint="eastAsia" w:hAnsi="宋体" w:eastAsia="宋体" w:cs="宋体"/>
                <w:b/>
                <w:color w:val="000000" w:themeColor="text1"/>
                <w:sz w:val="24"/>
                <w14:textFill>
                  <w14:solidFill>
                    <w14:schemeClr w14:val="tx1"/>
                  </w14:solidFill>
                </w14:textFill>
              </w:rPr>
              <w:t>序号</w:t>
            </w:r>
          </w:p>
        </w:tc>
        <w:tc>
          <w:tcPr>
            <w:tcW w:w="1124" w:type="pct"/>
            <w:vAlign w:val="center"/>
          </w:tcPr>
          <w:p w14:paraId="626DD3E2">
            <w:pPr>
              <w:pStyle w:val="12"/>
              <w:spacing w:line="440" w:lineRule="exact"/>
              <w:jc w:val="center"/>
              <w:rPr>
                <w:rFonts w:hint="eastAsia" w:hAnsi="宋体" w:eastAsia="宋体" w:cs="宋体"/>
                <w:b/>
                <w:color w:val="000000" w:themeColor="text1"/>
                <w:sz w:val="24"/>
                <w14:textFill>
                  <w14:solidFill>
                    <w14:schemeClr w14:val="tx1"/>
                  </w14:solidFill>
                </w14:textFill>
              </w:rPr>
            </w:pPr>
            <w:r>
              <w:rPr>
                <w:rFonts w:hint="eastAsia" w:hAnsi="宋体" w:eastAsia="宋体" w:cs="宋体"/>
                <w:b/>
                <w:bCs/>
                <w:color w:val="000000" w:themeColor="text1"/>
                <w:sz w:val="24"/>
                <w:szCs w:val="24"/>
                <w14:textFill>
                  <w14:solidFill>
                    <w14:schemeClr w14:val="tx1"/>
                  </w14:solidFill>
                </w14:textFill>
              </w:rPr>
              <w:t>商务条款</w:t>
            </w:r>
          </w:p>
        </w:tc>
        <w:tc>
          <w:tcPr>
            <w:tcW w:w="1465" w:type="pct"/>
            <w:vAlign w:val="center"/>
          </w:tcPr>
          <w:p w14:paraId="2A666EAD">
            <w:pPr>
              <w:pStyle w:val="12"/>
              <w:spacing w:line="440" w:lineRule="exact"/>
              <w:jc w:val="center"/>
              <w:rPr>
                <w:rFonts w:hint="eastAsia" w:hAnsi="宋体" w:eastAsia="宋体" w:cs="宋体"/>
                <w:b/>
                <w:color w:val="000000" w:themeColor="text1"/>
                <w:sz w:val="24"/>
                <w14:textFill>
                  <w14:solidFill>
                    <w14:schemeClr w14:val="tx1"/>
                  </w14:solidFill>
                </w14:textFill>
              </w:rPr>
            </w:pPr>
            <w:r>
              <w:rPr>
                <w:rFonts w:hint="eastAsia" w:hAnsi="宋体" w:eastAsia="宋体" w:cs="宋体"/>
                <w:b/>
                <w:color w:val="000000" w:themeColor="text1"/>
                <w:sz w:val="24"/>
                <w14:textFill>
                  <w14:solidFill>
                    <w14:schemeClr w14:val="tx1"/>
                  </w14:solidFill>
                </w14:textFill>
              </w:rPr>
              <w:t>招标文件要求</w:t>
            </w:r>
          </w:p>
        </w:tc>
        <w:tc>
          <w:tcPr>
            <w:tcW w:w="1510" w:type="pct"/>
            <w:vAlign w:val="center"/>
          </w:tcPr>
          <w:p w14:paraId="36B0BA11">
            <w:pPr>
              <w:pStyle w:val="12"/>
              <w:spacing w:line="440" w:lineRule="exact"/>
              <w:jc w:val="center"/>
              <w:rPr>
                <w:rFonts w:hint="eastAsia" w:hAnsi="宋体" w:eastAsia="宋体" w:cs="宋体"/>
                <w:b/>
                <w:color w:val="000000" w:themeColor="text1"/>
                <w:sz w:val="24"/>
                <w14:textFill>
                  <w14:solidFill>
                    <w14:schemeClr w14:val="tx1"/>
                  </w14:solidFill>
                </w14:textFill>
              </w:rPr>
            </w:pPr>
            <w:r>
              <w:rPr>
                <w:rFonts w:hint="eastAsia" w:hAnsi="宋体" w:eastAsia="宋体" w:cs="宋体"/>
                <w:b/>
                <w:color w:val="000000" w:themeColor="text1"/>
                <w:sz w:val="24"/>
                <w14:textFill>
                  <w14:solidFill>
                    <w14:schemeClr w14:val="tx1"/>
                  </w14:solidFill>
                </w14:textFill>
              </w:rPr>
              <w:t>投标人承诺</w:t>
            </w:r>
          </w:p>
        </w:tc>
        <w:tc>
          <w:tcPr>
            <w:tcW w:w="475" w:type="pct"/>
            <w:vAlign w:val="center"/>
          </w:tcPr>
          <w:p w14:paraId="34DEE223">
            <w:pPr>
              <w:pStyle w:val="12"/>
              <w:spacing w:line="440" w:lineRule="exact"/>
              <w:jc w:val="center"/>
              <w:rPr>
                <w:rFonts w:hint="eastAsia" w:hAnsi="宋体" w:eastAsia="宋体" w:cs="宋体"/>
                <w:b/>
                <w:color w:val="000000" w:themeColor="text1"/>
                <w:sz w:val="24"/>
                <w14:textFill>
                  <w14:solidFill>
                    <w14:schemeClr w14:val="tx1"/>
                  </w14:solidFill>
                </w14:textFill>
              </w:rPr>
            </w:pPr>
            <w:r>
              <w:rPr>
                <w:rFonts w:hint="eastAsia" w:hAnsi="宋体" w:eastAsia="宋体" w:cs="宋体"/>
                <w:b/>
                <w:color w:val="000000" w:themeColor="text1"/>
                <w:sz w:val="24"/>
                <w14:textFill>
                  <w14:solidFill>
                    <w14:schemeClr w14:val="tx1"/>
                  </w14:solidFill>
                </w14:textFill>
              </w:rPr>
              <w:t>偏离说明</w:t>
            </w:r>
          </w:p>
        </w:tc>
      </w:tr>
      <w:tr w14:paraId="06E2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CAB73F1">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124" w:type="pct"/>
            <w:vAlign w:val="center"/>
          </w:tcPr>
          <w:p w14:paraId="688BB878">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付款方式</w:t>
            </w:r>
          </w:p>
        </w:tc>
        <w:tc>
          <w:tcPr>
            <w:tcW w:w="1465" w:type="pct"/>
            <w:vAlign w:val="center"/>
          </w:tcPr>
          <w:p w14:paraId="5330BE37">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1510" w:type="pct"/>
            <w:vAlign w:val="center"/>
          </w:tcPr>
          <w:p w14:paraId="0FFE3008">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475" w:type="pct"/>
            <w:vAlign w:val="center"/>
          </w:tcPr>
          <w:p w14:paraId="25855389">
            <w:pPr>
              <w:spacing w:line="440" w:lineRule="exact"/>
              <w:jc w:val="center"/>
              <w:rPr>
                <w:rFonts w:hint="eastAsia" w:ascii="宋体" w:hAnsi="宋体" w:eastAsia="宋体" w:cs="宋体"/>
                <w:color w:val="000000" w:themeColor="text1"/>
                <w:sz w:val="24"/>
                <w14:textFill>
                  <w14:solidFill>
                    <w14:schemeClr w14:val="tx1"/>
                  </w14:solidFill>
                </w14:textFill>
              </w:rPr>
            </w:pPr>
          </w:p>
        </w:tc>
      </w:tr>
      <w:tr w14:paraId="5234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AF601F9">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p>
        </w:tc>
        <w:tc>
          <w:tcPr>
            <w:tcW w:w="1124" w:type="pct"/>
            <w:vAlign w:val="center"/>
          </w:tcPr>
          <w:p w14:paraId="0AB693D0">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服务地点</w:t>
            </w:r>
          </w:p>
        </w:tc>
        <w:tc>
          <w:tcPr>
            <w:tcW w:w="1465" w:type="pct"/>
            <w:vAlign w:val="center"/>
          </w:tcPr>
          <w:p w14:paraId="19514AB0">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1510" w:type="pct"/>
            <w:vAlign w:val="center"/>
          </w:tcPr>
          <w:p w14:paraId="5EAAF749">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475" w:type="pct"/>
            <w:vAlign w:val="center"/>
          </w:tcPr>
          <w:p w14:paraId="5FDD91F2">
            <w:pPr>
              <w:spacing w:line="440" w:lineRule="exact"/>
              <w:jc w:val="center"/>
              <w:rPr>
                <w:rFonts w:hint="eastAsia" w:ascii="宋体" w:hAnsi="宋体" w:eastAsia="宋体" w:cs="宋体"/>
                <w:color w:val="000000" w:themeColor="text1"/>
                <w:sz w:val="24"/>
                <w14:textFill>
                  <w14:solidFill>
                    <w14:schemeClr w14:val="tx1"/>
                  </w14:solidFill>
                </w14:textFill>
              </w:rPr>
            </w:pPr>
          </w:p>
        </w:tc>
      </w:tr>
      <w:tr w14:paraId="3F8C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010ABBD">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p>
        </w:tc>
        <w:tc>
          <w:tcPr>
            <w:tcW w:w="1124" w:type="pct"/>
            <w:vAlign w:val="center"/>
          </w:tcPr>
          <w:p w14:paraId="2A995877">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服务期限</w:t>
            </w:r>
          </w:p>
        </w:tc>
        <w:tc>
          <w:tcPr>
            <w:tcW w:w="1465" w:type="pct"/>
            <w:vAlign w:val="center"/>
          </w:tcPr>
          <w:p w14:paraId="57E388CC">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1510" w:type="pct"/>
            <w:vAlign w:val="center"/>
          </w:tcPr>
          <w:p w14:paraId="4F03E375">
            <w:pPr>
              <w:pStyle w:val="54"/>
              <w:spacing w:line="440" w:lineRule="exact"/>
              <w:jc w:val="center"/>
              <w:rPr>
                <w:rFonts w:hint="eastAsia" w:ascii="宋体" w:hAnsi="宋体" w:cs="宋体"/>
                <w:color w:val="000000" w:themeColor="text1"/>
                <w14:textFill>
                  <w14:solidFill>
                    <w14:schemeClr w14:val="tx1"/>
                  </w14:solidFill>
                </w14:textFill>
              </w:rPr>
            </w:pPr>
          </w:p>
        </w:tc>
        <w:tc>
          <w:tcPr>
            <w:tcW w:w="475" w:type="pct"/>
            <w:vAlign w:val="center"/>
          </w:tcPr>
          <w:p w14:paraId="6339E82D">
            <w:pPr>
              <w:spacing w:line="440" w:lineRule="exact"/>
              <w:jc w:val="center"/>
              <w:rPr>
                <w:rFonts w:hint="eastAsia" w:ascii="宋体" w:hAnsi="宋体" w:eastAsia="宋体" w:cs="宋体"/>
                <w:color w:val="000000" w:themeColor="text1"/>
                <w:sz w:val="24"/>
                <w14:textFill>
                  <w14:solidFill>
                    <w14:schemeClr w14:val="tx1"/>
                  </w14:solidFill>
                </w14:textFill>
              </w:rPr>
            </w:pPr>
          </w:p>
        </w:tc>
      </w:tr>
      <w:tr w14:paraId="29E0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ED41152">
            <w:pPr>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p>
        </w:tc>
        <w:tc>
          <w:tcPr>
            <w:tcW w:w="1124" w:type="pct"/>
            <w:vAlign w:val="center"/>
          </w:tcPr>
          <w:p w14:paraId="48A94277">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1465" w:type="pct"/>
            <w:vAlign w:val="center"/>
          </w:tcPr>
          <w:p w14:paraId="2067BA9B">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1510" w:type="pct"/>
            <w:vAlign w:val="center"/>
          </w:tcPr>
          <w:p w14:paraId="466E8AF3">
            <w:pPr>
              <w:spacing w:line="440" w:lineRule="exact"/>
              <w:jc w:val="center"/>
              <w:rPr>
                <w:rFonts w:hint="eastAsia" w:ascii="宋体" w:hAnsi="宋体" w:eastAsia="宋体" w:cs="宋体"/>
                <w:color w:val="000000" w:themeColor="text1"/>
                <w:sz w:val="24"/>
                <w14:textFill>
                  <w14:solidFill>
                    <w14:schemeClr w14:val="tx1"/>
                  </w14:solidFill>
                </w14:textFill>
              </w:rPr>
            </w:pPr>
          </w:p>
        </w:tc>
        <w:tc>
          <w:tcPr>
            <w:tcW w:w="475" w:type="pct"/>
            <w:vAlign w:val="center"/>
          </w:tcPr>
          <w:p w14:paraId="19D5606D">
            <w:pPr>
              <w:spacing w:line="440" w:lineRule="exact"/>
              <w:jc w:val="center"/>
              <w:rPr>
                <w:rFonts w:hint="eastAsia" w:ascii="宋体" w:hAnsi="宋体" w:eastAsia="宋体" w:cs="宋体"/>
                <w:color w:val="000000" w:themeColor="text1"/>
                <w:sz w:val="24"/>
                <w14:textFill>
                  <w14:solidFill>
                    <w14:schemeClr w14:val="tx1"/>
                  </w14:solidFill>
                </w14:textFill>
              </w:rPr>
            </w:pPr>
          </w:p>
        </w:tc>
      </w:tr>
    </w:tbl>
    <w:p w14:paraId="344070BD">
      <w:pPr>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p>
    <w:p w14:paraId="2731DAC7">
      <w:pPr>
        <w:spacing w:line="440" w:lineRule="exact"/>
        <w:ind w:firstLine="4800" w:firstLineChars="2000"/>
        <w:rPr>
          <w:rFonts w:hint="eastAsia" w:ascii="宋体" w:hAnsi="宋体" w:eastAsia="宋体" w:cs="宋体"/>
          <w:color w:val="000000" w:themeColor="text1"/>
          <w:sz w:val="24"/>
          <w14:textFill>
            <w14:solidFill>
              <w14:schemeClr w14:val="tx1"/>
            </w14:solidFill>
          </w14:textFill>
        </w:rPr>
      </w:pPr>
    </w:p>
    <w:p w14:paraId="3EA2CF26">
      <w:pPr>
        <w:spacing w:line="440" w:lineRule="exact"/>
        <w:ind w:firstLine="5760" w:firstLineChars="2400"/>
        <w:rPr>
          <w:rFonts w:hint="eastAsia" w:ascii="宋体" w:hAnsi="宋体" w:eastAsia="宋体" w:cs="宋体"/>
          <w:color w:val="000000" w:themeColor="text1"/>
          <w:sz w:val="24"/>
          <w14:textFill>
            <w14:solidFill>
              <w14:schemeClr w14:val="tx1"/>
            </w14:solidFill>
          </w14:textFill>
        </w:rPr>
      </w:pPr>
    </w:p>
    <w:p w14:paraId="06F1A9E4">
      <w:pPr>
        <w:spacing w:line="440" w:lineRule="exact"/>
        <w:ind w:firstLine="5760" w:firstLineChars="2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投标人盖章：</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w:t>
      </w:r>
    </w:p>
    <w:p w14:paraId="000F5571">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日      期：</w:t>
      </w:r>
      <w:r>
        <w:rPr>
          <w:rFonts w:hint="eastAsia" w:ascii="宋体" w:hAnsi="宋体" w:eastAsia="宋体" w:cs="宋体"/>
          <w:color w:val="000000" w:themeColor="text1"/>
          <w:sz w:val="24"/>
          <w:u w:val="single"/>
          <w14:textFill>
            <w14:solidFill>
              <w14:schemeClr w14:val="tx1"/>
            </w14:solidFill>
          </w14:textFill>
        </w:rPr>
        <w:t xml:space="preserve">             </w:t>
      </w:r>
    </w:p>
    <w:p w14:paraId="674D79B5">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224314A9">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027C5AD6">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77B56322">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04A913AE">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6564BC39">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6495B185">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5DC81AD9">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60BAE75F">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7D4B20F8">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463CB4CB">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21F09C66">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26ACC7ED">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4D7EA4E4">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0E8897D9">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29360B38">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19591D57">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0AC75CB7">
      <w:pPr>
        <w:spacing w:line="440" w:lineRule="exact"/>
        <w:ind w:firstLine="5760" w:firstLineChars="2400"/>
        <w:rPr>
          <w:rFonts w:hint="eastAsia" w:ascii="宋体" w:hAnsi="宋体" w:eastAsia="宋体" w:cs="宋体"/>
          <w:color w:val="000000" w:themeColor="text1"/>
          <w:sz w:val="24"/>
          <w:u w:val="single"/>
          <w14:textFill>
            <w14:solidFill>
              <w14:schemeClr w14:val="tx1"/>
            </w14:solidFill>
          </w14:textFill>
        </w:rPr>
      </w:pPr>
    </w:p>
    <w:p w14:paraId="1D3C7E3F">
      <w:pPr>
        <w:spacing w:line="440" w:lineRule="exact"/>
        <w:jc w:val="center"/>
        <w:rPr>
          <w:rFonts w:hint="eastAsia" w:ascii="黑体" w:hAnsi="黑体" w:eastAsia="黑体" w:cs="Times New Roman"/>
          <w:b/>
          <w:bCs/>
          <w:color w:val="000000" w:themeColor="text1"/>
          <w:kern w:val="44"/>
          <w:sz w:val="28"/>
          <w:szCs w:val="28"/>
          <w14:textFill>
            <w14:solidFill>
              <w14:schemeClr w14:val="tx1"/>
            </w14:solidFill>
          </w14:textFill>
        </w:rPr>
      </w:pPr>
      <w:r>
        <w:rPr>
          <w:rFonts w:hint="eastAsia" w:ascii="黑体" w:hAnsi="黑体" w:eastAsia="黑体" w:cs="Times New Roman"/>
          <w:b/>
          <w:bCs/>
          <w:color w:val="000000" w:themeColor="text1"/>
          <w:kern w:val="44"/>
          <w:sz w:val="32"/>
          <w:szCs w:val="32"/>
          <w14:textFill>
            <w14:solidFill>
              <w14:schemeClr w14:val="tx1"/>
            </w14:solidFill>
          </w14:textFill>
        </w:rPr>
        <w:t>附件1 关于联合惩戒失信行为加强信用查询管理的通知</w:t>
      </w:r>
    </w:p>
    <w:bookmarkEnd w:id="215"/>
    <w:p w14:paraId="34C3FF58">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一、失信行为联合惩戒的范围和查询渠道</w:t>
      </w:r>
    </w:p>
    <w:p w14:paraId="5E279F3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在我市公共资源交易活动中对存在下列失信行为的投标人、法定代表人及其项目经理（建造师）实施联合惩戒，禁止参与我市公共资源交易活动。</w:t>
      </w:r>
    </w:p>
    <w:p w14:paraId="31150A48">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（一）工程建设项目</w:t>
      </w:r>
    </w:p>
    <w:bookmarkEnd w:id="216"/>
    <w:bookmarkEnd w:id="217"/>
    <w:p w14:paraId="0F383032">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1、“信用中国”网站（www.creditchina.gov.cn）查询</w:t>
      </w:r>
      <w:bookmarkStart w:id="218" w:name="OLE_LINK103"/>
      <w:bookmarkStart w:id="219" w:name="OLE_LINK93"/>
      <w:bookmarkStart w:id="220" w:name="OLE_LINK91"/>
      <w:bookmarkStart w:id="221" w:name="OLE_LINK92"/>
      <w:r>
        <w:rPr>
          <w:rFonts w:hint="eastAsia" w:ascii="仿宋_GB2312" w:hAnsi="宋体" w:eastAsia="仿宋_GB2312" w:cs="Times New Roman"/>
          <w:color w:val="000000" w:themeColor="text1"/>
          <w:szCs w:val="21"/>
          <w14:textFill>
            <w14:solidFill>
              <w14:schemeClr w14:val="tx1"/>
            </w14:solidFill>
          </w14:textFill>
        </w:rPr>
        <w:t>投标人、法定代表人及其项目经理(建造师)</w:t>
      </w:r>
      <w:bookmarkEnd w:id="218"/>
      <w:bookmarkEnd w:id="219"/>
      <w:bookmarkEnd w:id="220"/>
      <w:bookmarkEnd w:id="221"/>
      <w:r>
        <w:rPr>
          <w:rFonts w:hint="eastAsia" w:ascii="仿宋_GB2312" w:hAnsi="宋体" w:eastAsia="仿宋_GB2312" w:cs="Times New Roman"/>
          <w:color w:val="000000" w:themeColor="text1"/>
          <w:szCs w:val="21"/>
          <w14:textFill>
            <w14:solidFill>
              <w14:schemeClr w14:val="tx1"/>
            </w14:solidFill>
          </w14:textFill>
        </w:rPr>
        <w:t>以下失信行为：</w:t>
      </w:r>
    </w:p>
    <w:p w14:paraId="799D9EF0">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bookmarkStart w:id="222" w:name="OLE_LINK87"/>
      <w:bookmarkStart w:id="223" w:name="OLE_LINK3"/>
      <w:bookmarkStart w:id="224" w:name="OLE_LINK94"/>
      <w:bookmarkStart w:id="225" w:name="OLE_LINK119"/>
      <w:bookmarkStart w:id="226" w:name="OLE_LINK86"/>
      <w:r>
        <w:rPr>
          <w:rFonts w:hint="eastAsia" w:ascii="仿宋_GB2312" w:hAnsi="宋体" w:eastAsia="仿宋_GB2312" w:cs="Times New Roman"/>
          <w:color w:val="000000" w:themeColor="text1"/>
          <w:szCs w:val="21"/>
          <w14:textFill>
            <w14:solidFill>
              <w14:schemeClr w14:val="tx1"/>
            </w14:solidFill>
          </w14:textFill>
        </w:rPr>
        <w:t>①被列入“失信被执行人”的;</w:t>
      </w:r>
    </w:p>
    <w:p w14:paraId="2EE766E8">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②被列入</w:t>
      </w:r>
      <w:bookmarkStart w:id="227" w:name="OLE_LINK117"/>
      <w:bookmarkStart w:id="228" w:name="OLE_LINK116"/>
      <w:bookmarkStart w:id="229" w:name="OLE_LINK118"/>
      <w:bookmarkStart w:id="230" w:name="OLE_LINK115"/>
      <w:r>
        <w:rPr>
          <w:rFonts w:hint="eastAsia" w:ascii="仿宋_GB2312" w:hAnsi="宋体" w:eastAsia="仿宋_GB2312" w:cs="Times New Roman"/>
          <w:color w:val="000000" w:themeColor="text1"/>
          <w:szCs w:val="21"/>
          <w14:textFill>
            <w14:solidFill>
              <w14:schemeClr w14:val="tx1"/>
            </w14:solidFill>
          </w14:textFill>
        </w:rPr>
        <w:t>“重大税收违法失信主体”</w:t>
      </w:r>
      <w:bookmarkEnd w:id="227"/>
      <w:bookmarkEnd w:id="228"/>
      <w:bookmarkEnd w:id="229"/>
      <w:bookmarkEnd w:id="230"/>
      <w:r>
        <w:rPr>
          <w:rFonts w:hint="eastAsia" w:ascii="仿宋_GB2312" w:hAnsi="宋体" w:eastAsia="仿宋_GB2312" w:cs="Times New Roman"/>
          <w:color w:val="000000" w:themeColor="text1"/>
          <w:szCs w:val="21"/>
          <w14:textFill>
            <w14:solidFill>
              <w14:schemeClr w14:val="tx1"/>
            </w14:solidFill>
          </w14:textFill>
        </w:rPr>
        <w:t>的；</w:t>
      </w:r>
    </w:p>
    <w:p w14:paraId="7E63A6B9">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③被列入“拖欠</w:t>
      </w:r>
      <w:bookmarkStart w:id="231" w:name="OLE_LINK85"/>
      <w:bookmarkStart w:id="232" w:name="OLE_LINK84"/>
      <w:r>
        <w:rPr>
          <w:rFonts w:hint="eastAsia" w:ascii="仿宋_GB2312" w:hAnsi="宋体" w:eastAsia="仿宋_GB2312" w:cs="Times New Roman"/>
          <w:color w:val="000000" w:themeColor="text1"/>
          <w:szCs w:val="21"/>
          <w14:textFill>
            <w14:solidFill>
              <w14:schemeClr w14:val="tx1"/>
            </w14:solidFill>
          </w14:textFill>
        </w:rPr>
        <w:t>农民工工资失信联合惩戒对象</w:t>
      </w:r>
      <w:bookmarkEnd w:id="231"/>
      <w:bookmarkEnd w:id="232"/>
      <w:r>
        <w:rPr>
          <w:rFonts w:hint="eastAsia" w:ascii="仿宋_GB2312" w:hAnsi="宋体" w:eastAsia="仿宋_GB2312" w:cs="Times New Roman"/>
          <w:color w:val="000000" w:themeColor="text1"/>
          <w:szCs w:val="21"/>
          <w14:textFill>
            <w14:solidFill>
              <w14:schemeClr w14:val="tx1"/>
            </w14:solidFill>
          </w14:textFill>
        </w:rPr>
        <w:t>名单”的；</w:t>
      </w:r>
    </w:p>
    <w:p w14:paraId="4FFFFC3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④被列入 “严重失信主体名单”的；</w:t>
      </w:r>
    </w:p>
    <w:p w14:paraId="2A7CCC3D">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⑤在“信用中国”网站上披露的仍在公示期的严重失信行为(具体行为类别及判定依据见附件2)的。</w:t>
      </w:r>
    </w:p>
    <w:bookmarkEnd w:id="222"/>
    <w:bookmarkEnd w:id="223"/>
    <w:bookmarkEnd w:id="224"/>
    <w:bookmarkEnd w:id="225"/>
    <w:bookmarkEnd w:id="226"/>
    <w:p w14:paraId="10B4015A">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2、</w:t>
      </w:r>
      <w:bookmarkStart w:id="233" w:name="OLE_LINK130"/>
      <w:r>
        <w:rPr>
          <w:rFonts w:hint="eastAsia" w:ascii="仿宋_GB2312" w:hAnsi="宋体" w:eastAsia="仿宋_GB2312" w:cs="Times New Roman"/>
          <w:color w:val="000000" w:themeColor="text1"/>
          <w:szCs w:val="21"/>
          <w14:textFill>
            <w14:solidFill>
              <w14:schemeClr w14:val="tx1"/>
            </w14:solidFill>
          </w14:textFill>
        </w:rPr>
        <w:t>国家企业信用信息公示系统网站</w:t>
      </w:r>
      <w:bookmarkEnd w:id="233"/>
      <w:r>
        <w:rPr>
          <w:rFonts w:hint="eastAsia" w:ascii="仿宋_GB2312" w:hAnsi="宋体" w:eastAsia="仿宋_GB2312" w:cs="Times New Roman"/>
          <w:color w:val="000000" w:themeColor="text1"/>
          <w:szCs w:val="21"/>
          <w14:textFill>
            <w14:solidFill>
              <w14:schemeClr w14:val="tx1"/>
            </w14:solidFill>
          </w14:textFill>
        </w:rPr>
        <w:t>（</w:t>
      </w:r>
      <w:r>
        <w:fldChar w:fldCharType="begin"/>
      </w:r>
      <w:r>
        <w:instrText xml:space="preserve"> HYPERLINK "http://www.gsxt.gov.cn）查询" </w:instrText>
      </w:r>
      <w:r>
        <w:fldChar w:fldCharType="separate"/>
      </w:r>
      <w:bookmarkStart w:id="234" w:name="OLE_LINK90"/>
      <w:bookmarkStart w:id="235" w:name="OLE_LINK89"/>
      <w:r>
        <w:rPr>
          <w:rStyle w:val="38"/>
          <w:rFonts w:hint="eastAsia" w:ascii="仿宋_GB2312" w:hAnsi="宋体" w:eastAsia="仿宋_GB2312" w:cs="Times New Roman"/>
          <w:color w:val="000000" w:themeColor="text1"/>
          <w:szCs w:val="21"/>
          <w14:textFill>
            <w14:solidFill>
              <w14:schemeClr w14:val="tx1"/>
            </w14:solidFill>
          </w14:textFill>
        </w:rPr>
        <w:t>www.gsxt.gov.cn</w:t>
      </w:r>
      <w:bookmarkEnd w:id="234"/>
      <w:bookmarkEnd w:id="235"/>
      <w:r>
        <w:rPr>
          <w:rStyle w:val="38"/>
          <w:rFonts w:hint="eastAsia" w:ascii="仿宋_GB2312" w:hAnsi="宋体" w:eastAsia="仿宋_GB2312" w:cs="Times New Roman"/>
          <w:color w:val="000000" w:themeColor="text1"/>
          <w:szCs w:val="21"/>
          <w14:textFill>
            <w14:solidFill>
              <w14:schemeClr w14:val="tx1"/>
            </w14:solidFill>
          </w14:textFill>
        </w:rPr>
        <w:t>）</w:t>
      </w:r>
      <w:r>
        <w:rPr>
          <w:rStyle w:val="38"/>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查询投标人以下失信行为：</w:t>
      </w:r>
    </w:p>
    <w:p w14:paraId="64A48E38">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bookmarkStart w:id="236" w:name="OLE_LINK122"/>
      <w:bookmarkStart w:id="237" w:name="OLE_LINK120"/>
      <w:bookmarkStart w:id="238" w:name="OLE_LINK121"/>
      <w:r>
        <w:rPr>
          <w:rFonts w:hint="eastAsia" w:ascii="仿宋_GB2312" w:hAnsi="宋体" w:eastAsia="仿宋_GB2312" w:cs="Times New Roman"/>
          <w:color w:val="000000" w:themeColor="text1"/>
          <w:szCs w:val="21"/>
          <w14:textFill>
            <w14:solidFill>
              <w14:schemeClr w14:val="tx1"/>
            </w14:solidFill>
          </w14:textFill>
        </w:rPr>
        <w:t>①被列入“经营异常名录”或者“严重违法失信名单”的。</w:t>
      </w:r>
      <w:bookmarkEnd w:id="236"/>
      <w:bookmarkEnd w:id="237"/>
      <w:bookmarkEnd w:id="238"/>
    </w:p>
    <w:p w14:paraId="17F0E0D9">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3、由</w:t>
      </w:r>
      <w:r>
        <w:rPr>
          <w:rFonts w:hint="eastAsia" w:ascii="仿宋_GB2312" w:hAnsi="宋体" w:eastAsia="仿宋_GB2312" w:cs="Times New Roman"/>
          <w:color w:val="000000" w:themeColor="text1"/>
          <w:kern w:val="0"/>
          <w:szCs w:val="21"/>
          <w14:textFill>
            <w14:solidFill>
              <w14:schemeClr w14:val="tx1"/>
            </w14:solidFill>
          </w14:textFill>
        </w:rPr>
        <w:t>投标人、法定代表人及其项目经理(建造师)</w:t>
      </w:r>
      <w:r>
        <w:rPr>
          <w:rFonts w:hint="eastAsia" w:ascii="仿宋_GB2312" w:hAnsi="宋体" w:eastAsia="仿宋_GB2312" w:cs="Times New Roman"/>
          <w:color w:val="000000" w:themeColor="text1"/>
          <w:szCs w:val="21"/>
          <w14:textFill>
            <w14:solidFill>
              <w14:schemeClr w14:val="tx1"/>
            </w14:solidFill>
          </w14:textFill>
        </w:rPr>
        <w:t>进行承诺，不进行现场网上信用查询的失信行为：</w:t>
      </w:r>
    </w:p>
    <w:p w14:paraId="0EEEAAE5">
      <w:pPr>
        <w:adjustRightInd w:val="0"/>
        <w:snapToGrid w:val="0"/>
        <w:spacing w:line="360" w:lineRule="exact"/>
        <w:ind w:firstLine="420" w:firstLineChars="200"/>
        <w:rPr>
          <w:rFonts w:hint="eastAsia" w:ascii="仿宋_GB2312" w:hAnsi="宋体" w:eastAsia="仿宋_GB2312" w:cs="楷体"/>
          <w:color w:val="000000" w:themeColor="text1"/>
          <w:szCs w:val="21"/>
          <w14:textFill>
            <w14:solidFill>
              <w14:schemeClr w14:val="tx1"/>
            </w14:solidFill>
          </w14:textFill>
        </w:rPr>
      </w:pPr>
      <w:bookmarkStart w:id="239" w:name="OLE_LINK123"/>
      <w:bookmarkStart w:id="240" w:name="OLE_LINK124"/>
      <w:r>
        <w:rPr>
          <w:rFonts w:hint="eastAsia" w:ascii="仿宋_GB2312" w:hAnsi="宋体" w:eastAsia="仿宋_GB2312" w:cs="Times New Roman"/>
          <w:color w:val="000000" w:themeColor="text1"/>
          <w:szCs w:val="21"/>
          <w14:textFill>
            <w14:solidFill>
              <w14:schemeClr w14:val="tx1"/>
            </w14:solidFill>
          </w14:textFill>
        </w:rPr>
        <w:t>①</w:t>
      </w:r>
      <w:r>
        <w:rPr>
          <w:rFonts w:hint="eastAsia" w:ascii="仿宋_GB2312" w:hAnsi="宋体" w:eastAsia="仿宋_GB2312" w:cs="楷体"/>
          <w:color w:val="000000" w:themeColor="text1"/>
          <w:szCs w:val="21"/>
          <w14:textFill>
            <w14:solidFill>
              <w14:schemeClr w14:val="tx1"/>
            </w14:solidFill>
          </w14:textFill>
        </w:rPr>
        <w:t>前三年有行贿犯罪行为的单位和个人；</w:t>
      </w:r>
    </w:p>
    <w:p w14:paraId="751EC04C">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②被滁州市县两级公管部门取消在一定期限内的投标资格且在取消期限内的；</w:t>
      </w:r>
    </w:p>
    <w:p w14:paraId="37C40AC9">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③被滁州市县两级各行业主管部门取消在一定期限内的投标资格且在取消期限内的；</w:t>
      </w:r>
    </w:p>
    <w:p w14:paraId="76DE9F80">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④因拖欠农民工工资被</w:t>
      </w:r>
      <w:bookmarkStart w:id="241" w:name="OLE_LINK108"/>
      <w:bookmarkStart w:id="242" w:name="OLE_LINK107"/>
      <w:r>
        <w:rPr>
          <w:rFonts w:hint="eastAsia" w:ascii="仿宋_GB2312" w:hAnsi="宋体" w:eastAsia="仿宋_GB2312" w:cs="Times New Roman"/>
          <w:color w:val="000000" w:themeColor="text1"/>
          <w:szCs w:val="21"/>
          <w14:textFill>
            <w14:solidFill>
              <w14:schemeClr w14:val="tx1"/>
            </w14:solidFill>
          </w14:textFill>
        </w:rPr>
        <w:t>县级及以上有关行政主管部门限制投标资格且在限制期限内的</w:t>
      </w:r>
      <w:bookmarkEnd w:id="241"/>
      <w:bookmarkEnd w:id="242"/>
      <w:r>
        <w:rPr>
          <w:rFonts w:hint="eastAsia" w:ascii="仿宋_GB2312" w:hAnsi="宋体" w:eastAsia="仿宋_GB2312" w:cs="Times New Roman"/>
          <w:color w:val="000000" w:themeColor="text1"/>
          <w:szCs w:val="21"/>
          <w14:textFill>
            <w14:solidFill>
              <w14:schemeClr w14:val="tx1"/>
            </w14:solidFill>
          </w14:textFill>
        </w:rPr>
        <w:t>；</w:t>
      </w:r>
    </w:p>
    <w:p w14:paraId="5599F393">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⑤被列入省级、市级农民工工资支付异常名录的施工企业，在限制其参加全市范围内房建和市政工程建设项目投标的期限内的；列入县级异常名录的施工企业，在限制其参加本行政区域内房建和市政建设项目投标的期限内的。</w:t>
      </w:r>
    </w:p>
    <w:bookmarkEnd w:id="239"/>
    <w:bookmarkEnd w:id="240"/>
    <w:p w14:paraId="0E2234D5">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（二）政府采购项目</w:t>
      </w:r>
    </w:p>
    <w:p w14:paraId="51518E78">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1、“信用中国”网站</w:t>
      </w:r>
      <w:r>
        <w:rPr>
          <w:rFonts w:hint="eastAsia" w:ascii="仿宋" w:hAnsi="仿宋" w:eastAsia="仿宋" w:cs="Times New Roman"/>
          <w:color w:val="000000" w:themeColor="text1"/>
          <w:szCs w:val="21"/>
          <w14:textFill>
            <w14:solidFill>
              <w14:schemeClr w14:val="tx1"/>
            </w14:solidFill>
          </w14:textFill>
        </w:rPr>
        <w:t>（</w:t>
      </w:r>
      <w:r>
        <w:rPr>
          <w:rStyle w:val="38"/>
          <w:rFonts w:hint="eastAsia" w:ascii="仿宋" w:hAnsi="仿宋" w:eastAsia="仿宋"/>
          <w:color w:val="000000" w:themeColor="text1"/>
          <w:szCs w:val="21"/>
          <w14:textFill>
            <w14:solidFill>
              <w14:schemeClr w14:val="tx1"/>
            </w14:solidFill>
          </w14:textFill>
        </w:rPr>
        <w:t>www.creditchina.gov.cn</w:t>
      </w:r>
      <w:r>
        <w:rPr>
          <w:rFonts w:hint="eastAsia" w:ascii="仿宋" w:hAnsi="仿宋" w:eastAsia="仿宋" w:cs="Times New Roman"/>
          <w:color w:val="000000" w:themeColor="text1"/>
          <w:szCs w:val="21"/>
          <w14:textFill>
            <w14:solidFill>
              <w14:schemeClr w14:val="tx1"/>
            </w14:solidFill>
          </w14:textFill>
        </w:rPr>
        <w:t>）</w:t>
      </w:r>
      <w:r>
        <w:rPr>
          <w:rFonts w:hint="eastAsia" w:ascii="仿宋_GB2312" w:hAnsi="宋体" w:eastAsia="仿宋_GB2312" w:cs="Times New Roman"/>
          <w:color w:val="000000" w:themeColor="text1"/>
          <w:szCs w:val="21"/>
          <w14:textFill>
            <w14:solidFill>
              <w14:schemeClr w14:val="tx1"/>
            </w14:solidFill>
          </w14:textFill>
        </w:rPr>
        <w:t>查询投标人、法定代表人及其项目负责人以下失信行为：</w:t>
      </w:r>
    </w:p>
    <w:p w14:paraId="40D3692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①被列入“失信被执行人”的;</w:t>
      </w:r>
    </w:p>
    <w:p w14:paraId="097716E1">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②被列入“重大税收违法失信主体”的；</w:t>
      </w:r>
    </w:p>
    <w:p w14:paraId="38B5714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③被列入 “严重失信主体名单”的；</w:t>
      </w:r>
    </w:p>
    <w:p w14:paraId="23C8A6B0">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④在“信用中国”网站上披露的仍在公示期的严重失信行为(具体行为类别及判定依据见附件2)的；</w:t>
      </w:r>
    </w:p>
    <w:p w14:paraId="63AF703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2、国家企业信用信息公示系统网站</w:t>
      </w:r>
      <w:r>
        <w:rPr>
          <w:rFonts w:hint="eastAsia" w:ascii="仿宋" w:hAnsi="仿宋" w:eastAsia="仿宋" w:cs="Times New Roman"/>
          <w:color w:val="000000" w:themeColor="text1"/>
          <w:szCs w:val="21"/>
          <w14:textFill>
            <w14:solidFill>
              <w14:schemeClr w14:val="tx1"/>
            </w14:solidFill>
          </w14:textFill>
        </w:rPr>
        <w:t>（</w:t>
      </w:r>
      <w:r>
        <w:fldChar w:fldCharType="begin"/>
      </w:r>
      <w:r>
        <w:instrText xml:space="preserve"> HYPERLINK "http://www.gsxt.gov.cn）查询" </w:instrText>
      </w:r>
      <w:r>
        <w:fldChar w:fldCharType="separate"/>
      </w:r>
      <w:r>
        <w:rPr>
          <w:rFonts w:hint="eastAsia" w:ascii="仿宋" w:hAnsi="仿宋" w:eastAsia="仿宋"/>
          <w:color w:val="000000" w:themeColor="text1"/>
          <w:szCs w:val="21"/>
          <w14:textFill>
            <w14:solidFill>
              <w14:schemeClr w14:val="tx1"/>
            </w14:solidFill>
          </w14:textFill>
        </w:rPr>
        <w:t>www.gsxt.gov.cn）</w:t>
      </w:r>
      <w:r>
        <w:rPr>
          <w:rFonts w:hint="eastAsia" w:ascii="仿宋" w:hAnsi="仿宋" w:eastAsia="仿宋"/>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查询投标人以下失信行为：</w:t>
      </w:r>
    </w:p>
    <w:p w14:paraId="5C721792">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①</w:t>
      </w:r>
      <w:bookmarkStart w:id="243" w:name="OLE_LINK102"/>
      <w:bookmarkStart w:id="244" w:name="OLE_LINK101"/>
      <w:bookmarkStart w:id="245" w:name="OLE_LINK100"/>
      <w:r>
        <w:rPr>
          <w:rFonts w:hint="eastAsia" w:ascii="仿宋_GB2312" w:hAnsi="宋体" w:eastAsia="仿宋_GB2312" w:cs="Times New Roman"/>
          <w:color w:val="000000" w:themeColor="text1"/>
          <w:szCs w:val="21"/>
          <w14:textFill>
            <w14:solidFill>
              <w14:schemeClr w14:val="tx1"/>
            </w14:solidFill>
          </w14:textFill>
        </w:rPr>
        <w:t>被列入“经营异常名录”或者“严重违法失信名单”的</w:t>
      </w:r>
      <w:bookmarkEnd w:id="243"/>
      <w:bookmarkEnd w:id="244"/>
      <w:bookmarkEnd w:id="245"/>
      <w:r>
        <w:rPr>
          <w:rFonts w:hint="eastAsia" w:ascii="仿宋_GB2312" w:hAnsi="宋体" w:eastAsia="仿宋_GB2312" w:cs="Times New Roman"/>
          <w:color w:val="000000" w:themeColor="text1"/>
          <w:szCs w:val="21"/>
          <w14:textFill>
            <w14:solidFill>
              <w14:schemeClr w14:val="tx1"/>
            </w14:solidFill>
          </w14:textFill>
        </w:rPr>
        <w:t>。</w:t>
      </w:r>
    </w:p>
    <w:p w14:paraId="1FFF3174">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3、中国政府采购网站</w:t>
      </w:r>
      <w:r>
        <w:rPr>
          <w:rFonts w:hint="eastAsia" w:ascii="仿宋" w:hAnsi="仿宋" w:eastAsia="仿宋" w:cs="Times New Roman"/>
          <w:color w:val="000000" w:themeColor="text1"/>
          <w:szCs w:val="21"/>
          <w14:textFill>
            <w14:solidFill>
              <w14:schemeClr w14:val="tx1"/>
            </w14:solidFill>
          </w14:textFill>
        </w:rPr>
        <w:t>（</w:t>
      </w:r>
      <w:bookmarkStart w:id="246" w:name="OLE_LINK96"/>
      <w:bookmarkStart w:id="247" w:name="OLE_LINK95"/>
      <w:r>
        <w:rPr>
          <w:rFonts w:ascii="仿宋" w:hAnsi="仿宋" w:eastAsia="仿宋" w:cs="Times New Roman"/>
          <w:color w:val="000000" w:themeColor="text1"/>
          <w:szCs w:val="21"/>
          <w14:textFill>
            <w14:solidFill>
              <w14:schemeClr w14:val="tx1"/>
            </w14:solidFill>
          </w14:textFill>
        </w:rPr>
        <w:fldChar w:fldCharType="begin"/>
      </w:r>
      <w:r>
        <w:rPr>
          <w:rFonts w:ascii="仿宋" w:hAnsi="仿宋" w:eastAsia="仿宋" w:cs="Times New Roman"/>
          <w:color w:val="000000" w:themeColor="text1"/>
          <w:szCs w:val="21"/>
          <w14:textFill>
            <w14:solidFill>
              <w14:schemeClr w14:val="tx1"/>
            </w14:solidFill>
          </w14:textFill>
        </w:rPr>
        <w:instrText xml:space="preserve"> HYPERLINK "http://www.ccgp.gov.cn" </w:instrText>
      </w:r>
      <w:r>
        <w:rPr>
          <w:rFonts w:ascii="仿宋" w:hAnsi="仿宋" w:eastAsia="仿宋" w:cs="Times New Roman"/>
          <w:color w:val="000000" w:themeColor="text1"/>
          <w:szCs w:val="21"/>
          <w14:textFill>
            <w14:solidFill>
              <w14:schemeClr w14:val="tx1"/>
            </w14:solidFill>
          </w14:textFill>
        </w:rPr>
        <w:fldChar w:fldCharType="separate"/>
      </w:r>
      <w:r>
        <w:rPr>
          <w:rFonts w:hint="eastAsia" w:ascii="仿宋" w:hAnsi="仿宋" w:eastAsia="仿宋"/>
          <w:color w:val="000000" w:themeColor="text1"/>
          <w:szCs w:val="21"/>
          <w14:textFill>
            <w14:solidFill>
              <w14:schemeClr w14:val="tx1"/>
            </w14:solidFill>
          </w14:textFill>
        </w:rPr>
        <w:t>www.ccgp.gov.cn</w:t>
      </w:r>
      <w:r>
        <w:rPr>
          <w:rFonts w:ascii="仿宋" w:hAnsi="仿宋" w:eastAsia="仿宋" w:cs="Times New Roman"/>
          <w:color w:val="000000" w:themeColor="text1"/>
          <w:szCs w:val="21"/>
          <w14:textFill>
            <w14:solidFill>
              <w14:schemeClr w14:val="tx1"/>
            </w14:solidFill>
          </w14:textFill>
        </w:rPr>
        <w:fldChar w:fldCharType="end"/>
      </w:r>
      <w:bookmarkEnd w:id="246"/>
      <w:bookmarkEnd w:id="247"/>
      <w:r>
        <w:rPr>
          <w:rFonts w:hint="eastAsia" w:ascii="仿宋" w:hAnsi="仿宋" w:eastAsia="仿宋" w:cs="Times New Roman"/>
          <w:color w:val="000000" w:themeColor="text1"/>
          <w:szCs w:val="21"/>
          <w14:textFill>
            <w14:solidFill>
              <w14:schemeClr w14:val="tx1"/>
            </w14:solidFill>
          </w14:textFill>
        </w:rPr>
        <w:t>）</w:t>
      </w:r>
      <w:r>
        <w:rPr>
          <w:rFonts w:hint="eastAsia" w:ascii="仿宋_GB2312" w:hAnsi="宋体" w:eastAsia="仿宋_GB2312" w:cs="Times New Roman"/>
          <w:color w:val="000000" w:themeColor="text1"/>
          <w:szCs w:val="21"/>
          <w14:textFill>
            <w14:solidFill>
              <w14:schemeClr w14:val="tx1"/>
            </w14:solidFill>
          </w14:textFill>
        </w:rPr>
        <w:t>查询以下失信行为：</w:t>
      </w:r>
    </w:p>
    <w:p w14:paraId="1C18FAD2">
      <w:pPr>
        <w:adjustRightInd w:val="0"/>
        <w:snapToGrid w:val="0"/>
        <w:spacing w:line="360" w:lineRule="exact"/>
        <w:ind w:firstLine="420" w:firstLineChars="200"/>
        <w:rPr>
          <w:rFonts w:hint="eastAsia" w:ascii="仿宋_GB2312" w:hAnsi="宋体" w:eastAsia="仿宋_GB2312" w:cs="楷体"/>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①</w:t>
      </w:r>
      <w:bookmarkStart w:id="248" w:name="OLE_LINK105"/>
      <w:bookmarkStart w:id="249" w:name="OLE_LINK106"/>
      <w:bookmarkStart w:id="250" w:name="OLE_LINK104"/>
      <w:r>
        <w:rPr>
          <w:rFonts w:hint="eastAsia" w:ascii="仿宋_GB2312" w:hAnsi="宋体" w:eastAsia="仿宋_GB2312" w:cs="Times New Roman"/>
          <w:color w:val="000000" w:themeColor="text1"/>
          <w:szCs w:val="21"/>
          <w14:textFill>
            <w14:solidFill>
              <w14:schemeClr w14:val="tx1"/>
            </w14:solidFill>
          </w14:textFill>
        </w:rPr>
        <w:t>被列入“政府采购严重违法失信行为信息记录”的</w:t>
      </w:r>
      <w:bookmarkEnd w:id="248"/>
      <w:bookmarkEnd w:id="249"/>
      <w:bookmarkEnd w:id="250"/>
      <w:r>
        <w:rPr>
          <w:rFonts w:hint="eastAsia" w:ascii="仿宋_GB2312" w:hAnsi="宋体" w:eastAsia="仿宋_GB2312" w:cs="楷体"/>
          <w:color w:val="000000" w:themeColor="text1"/>
          <w:szCs w:val="21"/>
          <w14:textFill>
            <w14:solidFill>
              <w14:schemeClr w14:val="tx1"/>
            </w14:solidFill>
          </w14:textFill>
        </w:rPr>
        <w:t>。</w:t>
      </w:r>
    </w:p>
    <w:p w14:paraId="055B0F4D">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4、由竞争主体进行承诺，不进行现场网上信用查询的失信行为：</w:t>
      </w:r>
    </w:p>
    <w:p w14:paraId="1166BB9E">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①</w:t>
      </w:r>
      <w:r>
        <w:rPr>
          <w:rFonts w:hint="eastAsia" w:ascii="仿宋_GB2312" w:hAnsi="宋体" w:eastAsia="仿宋_GB2312" w:cs="楷体"/>
          <w:color w:val="000000" w:themeColor="text1"/>
          <w:szCs w:val="21"/>
          <w14:textFill>
            <w14:solidFill>
              <w14:schemeClr w14:val="tx1"/>
            </w14:solidFill>
          </w14:textFill>
        </w:rPr>
        <w:t>前三年有行贿犯罪行为的单位和个人</w:t>
      </w:r>
      <w:r>
        <w:rPr>
          <w:rFonts w:hint="eastAsia" w:ascii="仿宋_GB2312" w:hAnsi="宋体" w:eastAsia="仿宋_GB2312" w:cs="Times New Roman"/>
          <w:color w:val="000000" w:themeColor="text1"/>
          <w:szCs w:val="21"/>
          <w14:textFill>
            <w14:solidFill>
              <w14:schemeClr w14:val="tx1"/>
            </w14:solidFill>
          </w14:textFill>
        </w:rPr>
        <w:t>。</w:t>
      </w:r>
    </w:p>
    <w:p w14:paraId="2D384A2E">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二、在开评标活动中的查询程序</w:t>
      </w:r>
    </w:p>
    <w:p w14:paraId="63829FE0">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实行有限数量制资格审查的项目，由项目单位（代理机构）对入围的投标人、法定代表人及其项目经理（建造师）是否存在上述要求查询的失信行为进行网上核查；若核查结果与投标人承诺不一致，则提交评标委员会取消其入围资格，依次进行替补，并对替补单位进行核查。评审结论以核查后入围的结果重新计算最终评标基准价。</w:t>
      </w:r>
    </w:p>
    <w:p w14:paraId="253C340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2、不实行有限数量制资格审查的项目，由项目单位（代理机构）对预中标候选人、法定代表人及其项目经理（建造师）是否存在上述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11A5FB91">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3、项目单位及其委托的代理机构应当做好信用查询结果截图和记录留存。</w:t>
      </w:r>
    </w:p>
    <w:p w14:paraId="27B0B488">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三、相关要求</w:t>
      </w:r>
    </w:p>
    <w:p w14:paraId="410A8A7E">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1、参与公共资源交易活动的竞争主体根据上述范围查询的内容进行自查并承诺，出具《诚信投标承诺书》（诚信投标承诺书包括但不限于上述自查并承诺内容）并注明承诺日期（投标截止时间前5日内）。</w:t>
      </w:r>
    </w:p>
    <w:p w14:paraId="4C6FC962">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经核查，竞争主体在承诺日期之前（没有承诺日期的以资格审查日或开标日之前）有上述失信行为进行虚假承诺的，将视作不诚信行为，资格审查委员会或评标委员会及代理机构应当及时报告公共资源监管部门，依法依规予以处理。</w:t>
      </w:r>
    </w:p>
    <w:p w14:paraId="778D849F">
      <w:pPr>
        <w:wordWrap w:val="0"/>
        <w:adjustRightInd w:val="0"/>
        <w:snapToGrid w:val="0"/>
        <w:spacing w:line="360" w:lineRule="exact"/>
        <w:ind w:firstLine="420" w:firstLineChars="200"/>
        <w:rPr>
          <w:rFonts w:ascii="Times New Roman" w:hAnsi="Times New Roman" w:eastAsia="宋体"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 xml:space="preserve">注册地在安徽省内且未在安徽省外开展业务、省外无违法违规行为的企业可通过安徽政务服务网开具由安徽省公共信用信息服务中心出具的《公共信用信息报告（无违法违规证明版或核查版）》代替《诚信投标承诺书》。《公共信用信息报告（无违法违规证明版或核查版）》可通过 “信用中国(安徽)”网站信用报告核验系统 ( </w:t>
      </w:r>
      <w:r>
        <w:fldChar w:fldCharType="begin"/>
      </w:r>
      <w:r>
        <w:instrText xml:space="preserve"> HYPERLINK "https://credit.ah.gov.cn/xinyong-fuwu/xvbahv/index.html"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https://credit.ah.gov.cn/xinyong-fuwu/xvbahv/index.html</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进行核验。核验不一致或提交《公共信用信息报告（无违法违规证明版或核查版）》的企业在省外有失信行为的将视作不诚信行为，资格审查委员会或评标委员会及代理机构应当及时报告公共资源监管部门，依法依规予以处理。</w:t>
      </w:r>
    </w:p>
    <w:p w14:paraId="0B25C7AB">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2、“信用中国”查询的严重失信行为判定依据为各行业主管部门下发的联合惩戒文件中规定的行为（按附件2执行）。</w:t>
      </w:r>
    </w:p>
    <w:p w14:paraId="4369A0FF">
      <w:pPr>
        <w:adjustRightInd w:val="0"/>
        <w:snapToGrid w:val="0"/>
        <w:spacing w:line="360" w:lineRule="exact"/>
        <w:ind w:firstLine="420" w:firstLineChars="200"/>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3、资格预审的项目以递交资格预审申请文件截止时间查询为准；资格后审的项目以递交投标文件截止时间查询为准。</w:t>
      </w:r>
    </w:p>
    <w:p w14:paraId="4652211E">
      <w:pPr>
        <w:ind w:right="960"/>
        <w:rPr>
          <w:rFonts w:hint="eastAsia" w:ascii="仿宋" w:hAnsi="仿宋" w:eastAsia="仿宋"/>
          <w:color w:val="000000" w:themeColor="text1"/>
          <w:sz w:val="32"/>
          <w:szCs w:val="32"/>
          <w14:textFill>
            <w14:solidFill>
              <w14:schemeClr w14:val="tx1"/>
            </w14:solidFill>
          </w14:textFill>
        </w:rPr>
      </w:pPr>
    </w:p>
    <w:p w14:paraId="57CD4481">
      <w:pPr>
        <w:ind w:right="960"/>
        <w:rPr>
          <w:rFonts w:hint="eastAsia" w:ascii="仿宋" w:hAnsi="仿宋" w:eastAsia="仿宋"/>
          <w:color w:val="000000" w:themeColor="text1"/>
          <w:sz w:val="32"/>
          <w:szCs w:val="32"/>
          <w14:textFill>
            <w14:solidFill>
              <w14:schemeClr w14:val="tx1"/>
            </w14:solidFill>
          </w14:textFill>
        </w:rPr>
      </w:pPr>
    </w:p>
    <w:p w14:paraId="78C9E313">
      <w:pPr>
        <w:ind w:right="960"/>
        <w:rPr>
          <w:rFonts w:hint="eastAsia" w:ascii="仿宋" w:hAnsi="仿宋" w:eastAsia="仿宋"/>
          <w:color w:val="000000" w:themeColor="text1"/>
          <w:sz w:val="32"/>
          <w:szCs w:val="32"/>
          <w14:textFill>
            <w14:solidFill>
              <w14:schemeClr w14:val="tx1"/>
            </w14:solidFill>
          </w14:textFill>
        </w:rPr>
      </w:pPr>
    </w:p>
    <w:p w14:paraId="7419446A">
      <w:pPr>
        <w:ind w:right="960"/>
        <w:rPr>
          <w:rFonts w:hint="eastAsia" w:ascii="仿宋" w:hAnsi="仿宋" w:eastAsia="仿宋"/>
          <w:color w:val="000000" w:themeColor="text1"/>
          <w:sz w:val="32"/>
          <w:szCs w:val="32"/>
          <w14:textFill>
            <w14:solidFill>
              <w14:schemeClr w14:val="tx1"/>
            </w14:solidFill>
          </w14:textFill>
        </w:rPr>
      </w:pPr>
    </w:p>
    <w:p w14:paraId="086281BC">
      <w:pPr>
        <w:keepNext/>
        <w:keepLines/>
        <w:spacing w:after="200" w:line="600" w:lineRule="exact"/>
        <w:jc w:val="center"/>
        <w:outlineLvl w:val="0"/>
        <w:rPr>
          <w:rFonts w:hint="eastAsia" w:ascii="黑体" w:hAnsi="黑体" w:eastAsia="黑体" w:cs="Times New Roman"/>
          <w:b/>
          <w:bCs/>
          <w:color w:val="000000" w:themeColor="text1"/>
          <w:kern w:val="44"/>
          <w:sz w:val="32"/>
          <w:szCs w:val="32"/>
          <w14:textFill>
            <w14:solidFill>
              <w14:schemeClr w14:val="tx1"/>
            </w14:solidFill>
          </w14:textFill>
        </w:rPr>
      </w:pPr>
      <w:bookmarkStart w:id="251" w:name="_Toc95223549"/>
      <w:bookmarkStart w:id="252" w:name="OLE_LINK32"/>
      <w:bookmarkStart w:id="253" w:name="OLE_LINK41"/>
      <w:bookmarkStart w:id="254" w:name="OLE_LINK31"/>
      <w:r>
        <w:rPr>
          <w:rFonts w:hint="eastAsia" w:ascii="黑体" w:hAnsi="黑体" w:eastAsia="黑体" w:cs="Times New Roman"/>
          <w:b/>
          <w:bCs/>
          <w:color w:val="000000" w:themeColor="text1"/>
          <w:kern w:val="44"/>
          <w:sz w:val="36"/>
          <w:szCs w:val="28"/>
          <w14:textFill>
            <w14:solidFill>
              <w14:schemeClr w14:val="tx1"/>
            </w14:solidFill>
          </w14:textFill>
        </w:rPr>
        <w:br w:type="page"/>
      </w:r>
      <w:r>
        <w:rPr>
          <w:rFonts w:hint="eastAsia" w:ascii="黑体" w:hAnsi="黑体" w:eastAsia="黑体" w:cs="Times New Roman"/>
          <w:b/>
          <w:bCs/>
          <w:color w:val="000000" w:themeColor="text1"/>
          <w:kern w:val="44"/>
          <w:sz w:val="32"/>
          <w:szCs w:val="32"/>
          <w14:textFill>
            <w14:solidFill>
              <w14:schemeClr w14:val="tx1"/>
            </w14:solidFill>
          </w14:textFill>
        </w:rPr>
        <w:t xml:space="preserve">附件2 </w:t>
      </w:r>
      <w:bookmarkStart w:id="255" w:name="OLE_LINK75"/>
      <w:bookmarkStart w:id="256" w:name="OLE_LINK74"/>
      <w:r>
        <w:rPr>
          <w:rFonts w:hint="eastAsia" w:ascii="黑体" w:hAnsi="黑体" w:eastAsia="黑体" w:cs="Times New Roman"/>
          <w:b/>
          <w:bCs/>
          <w:color w:val="000000" w:themeColor="text1"/>
          <w:kern w:val="44"/>
          <w:sz w:val="32"/>
          <w:szCs w:val="32"/>
          <w14:textFill>
            <w14:solidFill>
              <w14:schemeClr w14:val="tx1"/>
            </w14:solidFill>
          </w14:textFill>
        </w:rPr>
        <w:t>“信用中国”查询的严重失信行为</w:t>
      </w:r>
      <w:bookmarkStart w:id="257" w:name="OLE_LINK39"/>
      <w:bookmarkStart w:id="258" w:name="OLE_LINK38"/>
      <w:bookmarkStart w:id="259" w:name="OLE_LINK76"/>
      <w:bookmarkStart w:id="260" w:name="OLE_LINK40"/>
      <w:r>
        <w:rPr>
          <w:rFonts w:hint="eastAsia" w:ascii="黑体" w:hAnsi="黑体" w:eastAsia="黑体" w:cs="Times New Roman"/>
          <w:b/>
          <w:bCs/>
          <w:color w:val="000000" w:themeColor="text1"/>
          <w:kern w:val="44"/>
          <w:sz w:val="32"/>
          <w:szCs w:val="32"/>
          <w14:textFill>
            <w14:solidFill>
              <w14:schemeClr w14:val="tx1"/>
            </w14:solidFill>
          </w14:textFill>
        </w:rPr>
        <w:t>类别及判定依据</w:t>
      </w:r>
      <w:bookmarkEnd w:id="251"/>
      <w:bookmarkEnd w:id="255"/>
      <w:bookmarkEnd w:id="256"/>
      <w:bookmarkEnd w:id="257"/>
      <w:bookmarkEnd w:id="258"/>
      <w:bookmarkEnd w:id="259"/>
      <w:bookmarkEnd w:id="260"/>
    </w:p>
    <w:bookmarkEnd w:id="252"/>
    <w:bookmarkEnd w:id="253"/>
    <w:bookmarkEnd w:id="254"/>
    <w:p w14:paraId="4617BA13">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“信用中国”查询的严重失信行为判定依据为各行业主管部门下发的联合惩戒文件中规定的行为。下面将部分类别的严重失信行为列举如下：</w:t>
      </w:r>
    </w:p>
    <w:p w14:paraId="174A4E43">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一、安全生产领域严重失信行为：</w:t>
      </w:r>
    </w:p>
    <w:p w14:paraId="18A90E46">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（一）下列发生生产安全事故的生产经营单位及其有关人员应当列入严重失信主体名单：</w:t>
      </w:r>
    </w:p>
    <w:p w14:paraId="2895542B">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1、发生特别重大、重大生产安全事故的生产经营单位及其主要负责人，以及经调查认定对该事故发生负有责任，应当列入名单的其他单位和人员；</w:t>
      </w:r>
    </w:p>
    <w:p w14:paraId="03CACD11">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2、12个月内累计发生2起以上较大生产安全事故的生产经营单位及其主要负责人；</w:t>
      </w:r>
    </w:p>
    <w:p w14:paraId="1629B7AE">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3、发生生产安全事故，情节特别严重、影响特别恶劣，依照《中华人民共和国安全生产法》第一百一十四条的规定被处以罚款数额2倍以上5倍以下罚款的生产经营单位及其主要负责人；</w:t>
      </w:r>
    </w:p>
    <w:p w14:paraId="59785205">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4、瞒报、谎报生产安全事故的生产经营单位及其有关责任人员；</w:t>
      </w:r>
    </w:p>
    <w:p w14:paraId="77EF726A">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5、发生生产安全事故后，不立即组织抢救或者在事故调查处理期间擅离职守或者逃匿的生产经营单位主要负责人。</w:t>
      </w:r>
    </w:p>
    <w:p w14:paraId="38053C3A">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（二）下列未发生生产安全事故，但因安全生产违法行为，受到行政处罚的生产经营单位或者机构及其有关人员，应当列入严重失信主体名单：</w:t>
      </w:r>
    </w:p>
    <w:p w14:paraId="3BE45051">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1、未依法取得安全生产相关许可或者许可被暂扣、吊销期间从事相关生产经营活动的生产经营单位及其主要负责人；</w:t>
      </w:r>
    </w:p>
    <w:p w14:paraId="40EA05B3">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2、承担安全评价、认证、检测、检验职责的机构及其直接责任人员租借资质、挂靠、出具虚假报告或者证书的；</w:t>
      </w:r>
    </w:p>
    <w:p w14:paraId="6CE9686F">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3、在应急管理部门作出行政处罚后，有执行能力拒不执行或者逃避执行的生产经营单位及其主要负责人；</w:t>
      </w:r>
    </w:p>
    <w:p w14:paraId="5158644F">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4、其他违反安全生产法律法规受到行政处罚，且性质恶劣、情节严重的。</w:t>
      </w:r>
    </w:p>
    <w:p w14:paraId="470CF973">
      <w:pPr>
        <w:adjustRightInd w:val="0"/>
        <w:snapToGrid w:val="0"/>
        <w:spacing w:line="360" w:lineRule="exact"/>
        <w:ind w:firstLine="645"/>
        <w:jc w:val="left"/>
        <w:rPr>
          <w:rFonts w:ascii="仿宋_GB2312" w:hAnsi="Calibri"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依据：《安全生产严重失信主体名单管理办法》</w:t>
      </w:r>
      <w:r>
        <w:rPr>
          <w:rFonts w:hint="eastAsia" w:ascii="仿宋_GB2312" w:hAnsi="Calibri" w:eastAsia="仿宋_GB2312" w:cs="Times New Roman"/>
          <w:b/>
          <w:color w:val="000000" w:themeColor="text1"/>
          <w:szCs w:val="21"/>
          <w14:textFill>
            <w14:solidFill>
              <w14:schemeClr w14:val="tx1"/>
            </w14:solidFill>
          </w14:textFill>
        </w:rPr>
        <w:t>（2023年8月8日应急管理部令第11号）</w:t>
      </w:r>
    </w:p>
    <w:p w14:paraId="57CA86F2">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p>
    <w:p w14:paraId="0FA7C769">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二、环境保护领域严重失信行为：</w:t>
      </w:r>
    </w:p>
    <w:p w14:paraId="3299C44A">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（一）因为环境违法构成</w:t>
      </w:r>
      <w:r>
        <w:fldChar w:fldCharType="begin"/>
      </w:r>
      <w:r>
        <w:instrText xml:space="preserve"> HYPERLINK "https://baike.sogou.com/m/fullLemma?lid=10403954&amp;g_ut=3"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环境犯罪</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的；</w:t>
      </w:r>
    </w:p>
    <w:p w14:paraId="500C06C0">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（二）</w:t>
      </w:r>
      <w:r>
        <w:fldChar w:fldCharType="begin"/>
      </w:r>
      <w:r>
        <w:instrText xml:space="preserve"> HYPERLINK "https://baike.sogou.com/m/fullLemma?lid=76033123&amp;g_ut=3"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建设项目环境影响评价</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文件未按规定通过审批，擅自开工建设的；</w:t>
      </w:r>
    </w:p>
    <w:p w14:paraId="786BD29B">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（三）建设项目环保设施未建成、环保措施未落实、未通过</w:t>
      </w:r>
      <w:r>
        <w:fldChar w:fldCharType="begin"/>
      </w:r>
      <w:r>
        <w:instrText xml:space="preserve"> HYPERLINK "https://baike.sogou.com/m/fullLemma?lid=6470550&amp;g_ut=3"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竣工环保验收</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或者验收不合格，主体工程正式投入生产或者使用的；</w:t>
      </w:r>
    </w:p>
    <w:p w14:paraId="5B7B82DC">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（四）建设项目性质、规模、地点、采用的生产工艺或者防治污染、防止生态破坏的措施发生重大变动，未重新报批环境影响评价文件，擅自投入生产或者使用的；</w:t>
      </w:r>
    </w:p>
    <w:p w14:paraId="2C582A2F">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（五）主要污染物排放总量超过控制指标的；</w:t>
      </w:r>
    </w:p>
    <w:p w14:paraId="4D571501">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（六）私设暗管或者利用</w:t>
      </w:r>
      <w:r>
        <w:fldChar w:fldCharType="begin"/>
      </w:r>
      <w:r>
        <w:instrText xml:space="preserve"> HYPERLINK "https://baike.sogou.com/m/fullLemma?lid=41657319&amp;g_ut=3"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渗井</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、渗坑、裂隙、溶洞等排放、倾倒、处置水污染物，或者通过私设旁路排放</w:t>
      </w:r>
      <w:r>
        <w:fldChar w:fldCharType="begin"/>
      </w:r>
      <w:r>
        <w:instrText xml:space="preserve"> HYPERLINK "https://baike.sogou.com/m/fullLemma?lid=7758328&amp;g_ut=3"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大气污染物</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的；</w:t>
      </w:r>
    </w:p>
    <w:p w14:paraId="20CDAF97">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（七）非法排放、倾倒、处置危险废物，或者向无</w:t>
      </w:r>
      <w:r>
        <w:fldChar w:fldCharType="begin"/>
      </w:r>
      <w:r>
        <w:instrText xml:space="preserve"> HYPERLINK "https://baike.sogou.com/m/fullLemma?lid=5923292&amp;g_ut=3"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经营许可证</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或者超出经营许可范围的单位或个人提供或者委托其收集、贮存、利用、处置危险废物的；</w:t>
      </w:r>
    </w:p>
    <w:p w14:paraId="0DD600BC">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（八）</w:t>
      </w:r>
      <w:r>
        <w:fldChar w:fldCharType="begin"/>
      </w:r>
      <w:r>
        <w:instrText xml:space="preserve"> HYPERLINK "https://baike.sogou.com/m/fullLemma?lid=167759803&amp;g_ut=3"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环境违法行为</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造成集中式生活饮用水水源取水中断的；</w:t>
      </w:r>
    </w:p>
    <w:p w14:paraId="65E6EDB5">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（九）环境违法行为对生活饮用水水源保护区、自然保护区、</w:t>
      </w:r>
      <w:r>
        <w:fldChar w:fldCharType="begin"/>
      </w:r>
      <w:r>
        <w:instrText xml:space="preserve"> HYPERLINK "https://baike.sogou.com/m/fullLemma?lid=155199213&amp;g_ut=3"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国家重点生态功能区</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、风景名胜区、居住功能区、</w:t>
      </w:r>
      <w:r>
        <w:fldChar w:fldCharType="begin"/>
      </w:r>
      <w:r>
        <w:instrText xml:space="preserve"> HYPERLINK "https://baike.sogou.com/m/fullLemma?lid=7757164&amp;g_ut=3" \t "https://baike.sogou.com/m/_blank" </w:instrText>
      </w:r>
      <w:r>
        <w:fldChar w:fldCharType="separate"/>
      </w:r>
      <w:r>
        <w:rPr>
          <w:rFonts w:hint="eastAsia" w:ascii="仿宋_GB2312" w:hAnsi="宋体" w:eastAsia="仿宋_GB2312" w:cs="Times New Roman"/>
          <w:color w:val="000000" w:themeColor="text1"/>
          <w:szCs w:val="21"/>
          <w14:textFill>
            <w14:solidFill>
              <w14:schemeClr w14:val="tx1"/>
            </w14:solidFill>
          </w14:textFill>
        </w:rPr>
        <w:t>基本农田保护区</w:t>
      </w:r>
      <w:r>
        <w:rPr>
          <w:rFonts w:hint="eastAsia" w:ascii="仿宋_GB2312" w:hAnsi="宋体" w:eastAsia="仿宋_GB2312" w:cs="Times New Roman"/>
          <w:color w:val="000000" w:themeColor="text1"/>
          <w:szCs w:val="21"/>
          <w14:textFill>
            <w14:solidFill>
              <w14:schemeClr w14:val="tx1"/>
            </w14:solidFill>
          </w14:textFill>
        </w:rPr>
        <w:fldChar w:fldCharType="end"/>
      </w:r>
      <w:r>
        <w:rPr>
          <w:rFonts w:hint="eastAsia" w:ascii="仿宋_GB2312" w:hAnsi="宋体" w:eastAsia="仿宋_GB2312" w:cs="Times New Roman"/>
          <w:color w:val="000000" w:themeColor="text1"/>
          <w:szCs w:val="21"/>
          <w14:textFill>
            <w14:solidFill>
              <w14:schemeClr w14:val="tx1"/>
            </w14:solidFill>
          </w14:textFill>
        </w:rPr>
        <w:t>等环境敏感区造成重大不利影响的；</w:t>
      </w:r>
    </w:p>
    <w:p w14:paraId="673A288B">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（十）违法从事自然资源开发、交通基础设施建设，以及其他开发建设活动，造成严重生态破坏的；</w:t>
      </w:r>
    </w:p>
    <w:p w14:paraId="3D325D00">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（十一）发生较大及以上突发环境事件的；</w:t>
      </w:r>
    </w:p>
    <w:p w14:paraId="5026902E">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（十二）被环保部门挂牌督办，整改逾期未完成的；</w:t>
      </w:r>
    </w:p>
    <w:p w14:paraId="727623FA">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（十三）以暴力、威胁等方式拒绝、阻挠环保部门工作人员现场检查的；</w:t>
      </w:r>
    </w:p>
    <w:p w14:paraId="394F23E8">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（十四）违反重污染天气应急预案有关规定，对重污染天气投标不力的。</w:t>
      </w:r>
    </w:p>
    <w:p w14:paraId="2C215F50">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依据：《</w:t>
      </w:r>
      <w:bookmarkStart w:id="261" w:name="OLE_LINK9"/>
      <w:bookmarkStart w:id="262" w:name="OLE_LINK10"/>
      <w:bookmarkStart w:id="263" w:name="OLE_LINK8"/>
      <w:r>
        <w:rPr>
          <w:rFonts w:hint="eastAsia" w:ascii="仿宋_GB2312" w:hAnsi="宋体" w:eastAsia="仿宋_GB2312" w:cs="Times New Roman"/>
          <w:b/>
          <w:color w:val="000000" w:themeColor="text1"/>
          <w:szCs w:val="21"/>
          <w14:textFill>
            <w14:solidFill>
              <w14:schemeClr w14:val="tx1"/>
            </w14:solidFill>
          </w14:textFill>
        </w:rPr>
        <w:t>关于对环境保护领域失信生产经营单位及其有关人员开展联合惩戒的合作备忘录</w:t>
      </w:r>
      <w:bookmarkEnd w:id="261"/>
      <w:bookmarkEnd w:id="262"/>
      <w:bookmarkEnd w:id="263"/>
      <w:r>
        <w:rPr>
          <w:rFonts w:hint="eastAsia" w:ascii="仿宋_GB2312" w:hAnsi="宋体" w:eastAsia="仿宋_GB2312" w:cs="Times New Roman"/>
          <w:b/>
          <w:color w:val="000000" w:themeColor="text1"/>
          <w:szCs w:val="21"/>
          <w14:textFill>
            <w14:solidFill>
              <w14:schemeClr w14:val="tx1"/>
            </w14:solidFill>
          </w14:textFill>
        </w:rPr>
        <w:t>》、《</w:t>
      </w:r>
      <w:bookmarkStart w:id="264" w:name="OLE_LINK12"/>
      <w:bookmarkStart w:id="265" w:name="OLE_LINK11"/>
      <w:r>
        <w:rPr>
          <w:rFonts w:hint="eastAsia" w:ascii="仿宋_GB2312" w:hAnsi="宋体" w:eastAsia="仿宋_GB2312" w:cs="Times New Roman"/>
          <w:b/>
          <w:color w:val="000000" w:themeColor="text1"/>
          <w:szCs w:val="21"/>
          <w14:textFill>
            <w14:solidFill>
              <w14:schemeClr w14:val="tx1"/>
            </w14:solidFill>
          </w14:textFill>
        </w:rPr>
        <w:t>企业环境信用评价办法（试行）</w:t>
      </w:r>
      <w:bookmarkEnd w:id="264"/>
      <w:bookmarkEnd w:id="265"/>
      <w:r>
        <w:rPr>
          <w:rFonts w:hint="eastAsia" w:ascii="仿宋_GB2312" w:hAnsi="宋体" w:eastAsia="仿宋_GB2312" w:cs="Times New Roman"/>
          <w:b/>
          <w:color w:val="000000" w:themeColor="text1"/>
          <w:szCs w:val="21"/>
          <w14:textFill>
            <w14:solidFill>
              <w14:schemeClr w14:val="tx1"/>
            </w14:solidFill>
          </w14:textFill>
        </w:rPr>
        <w:t>》（环发〔2013〕150号）</w:t>
      </w:r>
    </w:p>
    <w:p w14:paraId="17524659">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p>
    <w:p w14:paraId="4A618658">
      <w:pPr>
        <w:adjustRightInd w:val="0"/>
        <w:snapToGrid w:val="0"/>
        <w:spacing w:line="360" w:lineRule="exact"/>
        <w:ind w:firstLine="645"/>
        <w:jc w:val="left"/>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三、</w:t>
      </w:r>
      <w:r>
        <w:rPr>
          <w:rFonts w:hint="eastAsia" w:ascii="仿宋_GB2312" w:hAnsi="宋体" w:eastAsia="仿宋_GB2312" w:cs="Times New Roman"/>
          <w:b/>
          <w:bCs/>
          <w:color w:val="000000" w:themeColor="text1"/>
          <w:szCs w:val="21"/>
          <w14:textFill>
            <w14:solidFill>
              <w14:schemeClr w14:val="tx1"/>
            </w14:solidFill>
          </w14:textFill>
        </w:rPr>
        <w:t>公共资源交易领域严重失信行为</w:t>
      </w:r>
    </w:p>
    <w:p w14:paraId="1A6BB8C9">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（一）违反法律规定，必须进行招标的项目而不招标的，将必须进行招标的项目化整为零或者以其他任何方式规避招标的； </w:t>
      </w:r>
    </w:p>
    <w:p w14:paraId="319CB031">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（二）采购代理机构违反法律规定，泄露应当保密的与招标投标活动有关的情况和资料的，或者与采购人、投标人串通损害 国家利益、社会公共利益或者他人合法权益的；</w:t>
      </w:r>
    </w:p>
    <w:p w14:paraId="632011FA">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（三）采购人以不合理的条件限制或者排斥潜在投标人的，对潜在投标人实行歧视待遇的，强制要求投标人组成联合体共同 投标的，或者限制投标人之间竞争的；</w:t>
      </w:r>
    </w:p>
    <w:p w14:paraId="605E9D47">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（四）依法必须进行招标的项目的采购人向他人透露已获取招标文件的潜在投标人的名称、数量或者可能影响公平竞争的有 关招标投标的其他情况的，或者泄露标底的；</w:t>
      </w:r>
    </w:p>
    <w:p w14:paraId="28C4977E">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（五）投标人相互串通投标或者与采购人串通投标的，投标人以向采购人或者评标委员会成员行贿的手段谋取中标的； </w:t>
      </w:r>
    </w:p>
    <w:p w14:paraId="18F4896E">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（六）投标人以他人名义投标或者以其他方式弄虚作假，骗取中标的；</w:t>
      </w:r>
    </w:p>
    <w:p w14:paraId="7848ED77">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（七）依法必须进行招标的项目，采购人违反法律规定，与投标人就投标价格、投标方案等实质性内容进行谈判的；</w:t>
      </w:r>
    </w:p>
    <w:p w14:paraId="20CAEA64">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（八）评标委员会成员收受投标人的财物或者其他好处的，评标委员会成员或者参加评标的有关工作人员向他人透露对投 标文件的评审和比较、中标候选人的推荐以及与评标有关的其他 情况的； </w:t>
      </w:r>
    </w:p>
    <w:p w14:paraId="238EB10F">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（九）采购人在评标委员会依法推荐的中标候选人以外确定中标人的，依法必须进行招标的项目在所有投标被评标委员会否 决后自行确定中标人的； </w:t>
      </w:r>
    </w:p>
    <w:p w14:paraId="342B3ECD">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（十）中标人将中标项目转让给他人的，将中标项目肢解后分别转让给他人的，违反法律规定将中标项目的部分主体、关键 性工作分包给他人的，或者分包人再次分包的； </w:t>
      </w:r>
    </w:p>
    <w:p w14:paraId="7A151AB5">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（十一）采购人与中标人不按照招标文件和中标人的投标文件订立合同的，或者采购人、中标人订立背离合同实质性内容的 协议的； </w:t>
      </w:r>
    </w:p>
    <w:p w14:paraId="16AE8299">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（十二）中标人不按照与采购人订立的合同履行义务，情节严重的； </w:t>
      </w:r>
    </w:p>
    <w:p w14:paraId="3FD4F056">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（十三）采购人、采购代理机构存在应当采用公开招标方式而擅自采用其他方式采购，擅自提高采购标准，以不合理的条件 对投标人实行差别待遇或者歧视待遇，在招标采购过程中与投标 人进行协商谈判，中标、成交通知书发出后不与中标、成交投标人签订采购合同，或者拒绝有关部门依法实施监督检查等情形的；</w:t>
      </w:r>
    </w:p>
    <w:p w14:paraId="6714FB64">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 （十四）采购人、采购代理机构及其工作人员存在与投标人 或者采购代理机构恶意串通，在采购过程中接受贿赂或者获取其 他不正当利益，在有关部门依法实施的监督检查中提供虚假情况， 或者开标前泄露标底等情形的；</w:t>
      </w:r>
    </w:p>
    <w:p w14:paraId="2AFD179A">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 （十五）采购人对应当实行集中采购的政府采购项目，不委托集中采购机构实行集中采购的； </w:t>
      </w:r>
    </w:p>
    <w:p w14:paraId="4A7F347A">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（十六）采购人、采购代理机构违反法律规定隐匿、销毁应当保存的采购文件或者伪造、变造采购文件的； </w:t>
      </w:r>
    </w:p>
    <w:p w14:paraId="0D0D1BBE">
      <w:pPr>
        <w:adjustRightInd w:val="0"/>
        <w:snapToGrid w:val="0"/>
        <w:spacing w:line="360" w:lineRule="exact"/>
        <w:ind w:firstLine="645"/>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（十七）投标人存在提供虚假材料谋取中标、成交，采取不 正当手段诋毁、排挤其他投标人，与采购人、其他投标人或者采 购代理机构恶意串通，向采购人、采购代理机构行贿或者提供其 他不正当利益，在招标采购过程中与采购人进行协商谈判，或拒 绝有关部门监督检查或者提供虚假情况等情形的； </w:t>
      </w:r>
    </w:p>
    <w:p w14:paraId="4AEDFF52">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（十八）疫苗生产企业向县级疾病预防控制机构以外的单位或者个人销售第二类疫苗的； </w:t>
      </w:r>
    </w:p>
    <w:p w14:paraId="2768C894">
      <w:pPr>
        <w:adjustRightInd w:val="0"/>
        <w:snapToGrid w:val="0"/>
        <w:spacing w:line="360" w:lineRule="exact"/>
        <w:ind w:left="141" w:leftChars="67" w:firstLine="315" w:firstLineChars="150"/>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（十九）存在其他违反公共资源交易法律法规行为的。</w:t>
      </w:r>
    </w:p>
    <w:p w14:paraId="79E39CCB">
      <w:pPr>
        <w:adjustRightInd w:val="0"/>
        <w:snapToGrid w:val="0"/>
        <w:spacing w:line="360" w:lineRule="exact"/>
        <w:ind w:firstLine="670" w:firstLineChars="318"/>
        <w:jc w:val="left"/>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依据：《</w:t>
      </w:r>
      <w:bookmarkStart w:id="266" w:name="OLE_LINK13"/>
      <w:bookmarkStart w:id="267" w:name="OLE_LINK14"/>
      <w:r>
        <w:rPr>
          <w:rFonts w:hint="eastAsia" w:ascii="仿宋_GB2312" w:hAnsi="宋体" w:eastAsia="仿宋_GB2312" w:cs="Times New Roman"/>
          <w:b/>
          <w:color w:val="000000" w:themeColor="text1"/>
          <w:szCs w:val="21"/>
          <w14:textFill>
            <w14:solidFill>
              <w14:schemeClr w14:val="tx1"/>
            </w14:solidFill>
          </w14:textFill>
        </w:rPr>
        <w:t>关于对公共资源交易领域严重失信主体开展联合惩戒的备忘录</w:t>
      </w:r>
      <w:bookmarkEnd w:id="266"/>
      <w:bookmarkEnd w:id="267"/>
      <w:r>
        <w:rPr>
          <w:rFonts w:hint="eastAsia" w:ascii="仿宋_GB2312" w:hAnsi="宋体" w:eastAsia="仿宋_GB2312" w:cs="Times New Roman"/>
          <w:b/>
          <w:color w:val="000000" w:themeColor="text1"/>
          <w:szCs w:val="21"/>
          <w14:textFill>
            <w14:solidFill>
              <w14:schemeClr w14:val="tx1"/>
            </w14:solidFill>
          </w14:textFill>
        </w:rPr>
        <w:t>》（发改法规〔2018〕457号）</w:t>
      </w:r>
    </w:p>
    <w:p w14:paraId="2C031F71">
      <w:pPr>
        <w:adjustRightInd w:val="0"/>
        <w:snapToGrid w:val="0"/>
        <w:spacing w:line="360" w:lineRule="exact"/>
        <w:ind w:firstLine="645"/>
        <w:jc w:val="left"/>
        <w:rPr>
          <w:rFonts w:hint="eastAsia" w:ascii="仿宋_GB2312" w:hAnsi="宋体" w:eastAsia="仿宋_GB2312" w:cs="Times New Roman"/>
          <w:color w:val="000000" w:themeColor="text1"/>
          <w:szCs w:val="21"/>
          <w14:textFill>
            <w14:solidFill>
              <w14:schemeClr w14:val="tx1"/>
            </w14:solidFill>
          </w14:textFill>
        </w:rPr>
      </w:pPr>
    </w:p>
    <w:p w14:paraId="0EDA0A18">
      <w:pPr>
        <w:adjustRightInd w:val="0"/>
        <w:snapToGrid w:val="0"/>
        <w:spacing w:line="360" w:lineRule="exact"/>
        <w:ind w:firstLine="645"/>
        <w:jc w:val="left"/>
        <w:rPr>
          <w:rFonts w:hint="eastAsia" w:ascii="仿宋_GB2312" w:hAnsi="宋体" w:eastAsia="仿宋_GB2312" w:cs="Times New Roman"/>
          <w:b/>
          <w:bCs/>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四、</w:t>
      </w:r>
      <w:r>
        <w:rPr>
          <w:rFonts w:hint="eastAsia" w:ascii="仿宋_GB2312" w:hAnsi="宋体" w:eastAsia="仿宋_GB2312" w:cs="Times New Roman"/>
          <w:b/>
          <w:bCs/>
          <w:color w:val="000000" w:themeColor="text1"/>
          <w:szCs w:val="21"/>
          <w14:textFill>
            <w14:solidFill>
              <w14:schemeClr w14:val="tx1"/>
            </w14:solidFill>
          </w14:textFill>
        </w:rPr>
        <w:t>社会保险领域严重失信行为</w:t>
      </w:r>
    </w:p>
    <w:p w14:paraId="5DC1FE9A">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（一）用人单位未按相关规定参加社会保险且拒不整改的； </w:t>
      </w:r>
    </w:p>
    <w:p w14:paraId="76514983">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（二）用人单位未如实申报社会保险缴费基数且拒不整改的； </w:t>
      </w:r>
    </w:p>
    <w:p w14:paraId="277E1230">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（三）应缴纳社会保险费却拒不缴纳的； </w:t>
      </w:r>
    </w:p>
    <w:p w14:paraId="2A8C8EFC">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（四）隐匿、转移、侵占、挪用社会保险费款、基金或者违规投资运营的；</w:t>
      </w:r>
    </w:p>
    <w:p w14:paraId="6D562153">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（五）以欺诈、伪造证明材料或者其他手段参加、申报社会保险和骗取社会保险基金支出或社会保险待遇的； </w:t>
      </w:r>
    </w:p>
    <w:p w14:paraId="1C496DCF">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（六）非法获取、出售或变相交易社会保险个人权益数据的； </w:t>
      </w:r>
    </w:p>
    <w:p w14:paraId="48064D07">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（七）社会保险服务机构违反服务协议或相关规定的； </w:t>
      </w:r>
    </w:p>
    <w:p w14:paraId="34C5F38A">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 xml:space="preserve">（八）拒绝协助社会保险行政部门、经办机构对事故和问题进 行调查核实的；拒绝接受或协助税务部门对社会保险实施监督检查， 不如实提供与社会保险相关各项资料的； </w:t>
      </w:r>
    </w:p>
    <w:p w14:paraId="291CC17D">
      <w:pPr>
        <w:adjustRightInd w:val="0"/>
        <w:snapToGrid w:val="0"/>
        <w:spacing w:line="360" w:lineRule="exact"/>
        <w:ind w:left="141" w:leftChars="67" w:firstLine="315" w:firstLineChars="15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（九）其他违反法律法规规定的。</w:t>
      </w:r>
    </w:p>
    <w:p w14:paraId="4F378F68">
      <w:pPr>
        <w:adjustRightInd w:val="0"/>
        <w:snapToGrid w:val="0"/>
        <w:spacing w:line="360" w:lineRule="exact"/>
        <w:ind w:firstLine="413" w:firstLineChars="196"/>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b/>
          <w:color w:val="000000" w:themeColor="text1"/>
          <w:szCs w:val="21"/>
          <w14:textFill>
            <w14:solidFill>
              <w14:schemeClr w14:val="tx1"/>
            </w14:solidFill>
          </w14:textFill>
        </w:rPr>
        <w:t>依据：《</w:t>
      </w:r>
      <w:bookmarkStart w:id="268" w:name="OLE_LINK16"/>
      <w:bookmarkStart w:id="269" w:name="OLE_LINK15"/>
      <w:r>
        <w:rPr>
          <w:rFonts w:hint="eastAsia" w:ascii="仿宋_GB2312" w:hAnsi="Calibri" w:eastAsia="仿宋_GB2312" w:cs="Times New Roman"/>
          <w:b/>
          <w:color w:val="000000" w:themeColor="text1"/>
          <w:szCs w:val="21"/>
          <w14:textFill>
            <w14:solidFill>
              <w14:schemeClr w14:val="tx1"/>
            </w14:solidFill>
          </w14:textFill>
        </w:rPr>
        <w:t>关于对社会保险领域严重失信企业及其有关人员实施联合惩戒的合作备忘录</w:t>
      </w:r>
      <w:bookmarkEnd w:id="268"/>
      <w:bookmarkEnd w:id="269"/>
      <w:r>
        <w:rPr>
          <w:rFonts w:hint="eastAsia" w:ascii="仿宋_GB2312" w:hAnsi="Calibri" w:eastAsia="仿宋_GB2312" w:cs="Times New Roman"/>
          <w:b/>
          <w:color w:val="000000" w:themeColor="text1"/>
          <w:szCs w:val="21"/>
          <w14:textFill>
            <w14:solidFill>
              <w14:schemeClr w14:val="tx1"/>
            </w14:solidFill>
          </w14:textFill>
        </w:rPr>
        <w:t>》（发改财金〔2018〕1704号）</w:t>
      </w:r>
    </w:p>
    <w:p w14:paraId="21856F10">
      <w:pPr>
        <w:adjustRightInd w:val="0"/>
        <w:snapToGrid w:val="0"/>
        <w:spacing w:line="360" w:lineRule="exact"/>
        <w:jc w:val="left"/>
        <w:rPr>
          <w:rFonts w:hint="eastAsia" w:ascii="仿宋_GB2312" w:hAnsi="宋体" w:eastAsia="仿宋_GB2312" w:cs="Times New Roman"/>
          <w:color w:val="000000" w:themeColor="text1"/>
          <w:szCs w:val="21"/>
          <w14:textFill>
            <w14:solidFill>
              <w14:schemeClr w14:val="tx1"/>
            </w14:solidFill>
          </w14:textFill>
        </w:rPr>
      </w:pPr>
      <w:r>
        <w:rPr>
          <w:rFonts w:hint="eastAsia" w:ascii="仿宋_GB2312" w:hAnsi="宋体" w:eastAsia="仿宋_GB2312" w:cs="Times New Roman"/>
          <w:color w:val="000000" w:themeColor="text1"/>
          <w:szCs w:val="21"/>
          <w14:textFill>
            <w14:solidFill>
              <w14:schemeClr w14:val="tx1"/>
            </w14:solidFill>
          </w14:textFill>
        </w:rPr>
        <w:t xml:space="preserve">     </w:t>
      </w:r>
    </w:p>
    <w:p w14:paraId="170269F8">
      <w:pPr>
        <w:adjustRightInd w:val="0"/>
        <w:snapToGrid w:val="0"/>
        <w:spacing w:line="360" w:lineRule="exact"/>
        <w:ind w:firstLine="422" w:firstLineChars="200"/>
        <w:jc w:val="left"/>
        <w:rPr>
          <w:rFonts w:hint="eastAsia" w:ascii="仿宋_GB2312" w:hAnsi="宋体" w:eastAsia="仿宋_GB2312" w:cs="Times New Roman"/>
          <w:b/>
          <w:bCs/>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五、建筑市场领域</w:t>
      </w:r>
      <w:r>
        <w:rPr>
          <w:rFonts w:hint="eastAsia" w:ascii="仿宋_GB2312" w:hAnsi="宋体" w:eastAsia="仿宋_GB2312" w:cs="Times New Roman"/>
          <w:b/>
          <w:bCs/>
          <w:color w:val="000000" w:themeColor="text1"/>
          <w:szCs w:val="21"/>
          <w14:textFill>
            <w14:solidFill>
              <w14:schemeClr w14:val="tx1"/>
            </w14:solidFill>
          </w14:textFill>
        </w:rPr>
        <w:t>严重失信行为</w:t>
      </w:r>
    </w:p>
    <w:p w14:paraId="52A80890">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（一）利用虚假材料、以欺骗手段取得企业资质的；</w:t>
      </w:r>
    </w:p>
    <w:p w14:paraId="135D625E">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（二）发生转包、出借资质，受到行政处罚的；</w:t>
      </w:r>
    </w:p>
    <w:p w14:paraId="009372C4">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（三）发生重大及以上工程质量安全事故，或1年内累计发生2次及以上较大工程质量安全事故，或发生性质恶劣、危害性严重、社会影响大的较大工程质量安全事故，受到行政处罚的；</w:t>
      </w:r>
    </w:p>
    <w:p w14:paraId="33A668AD">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（四）经法院判决或仲裁机构裁决，认定为拖欠工程款,且拒不履行生效法律文书确定的义务的。</w:t>
      </w:r>
    </w:p>
    <w:p w14:paraId="120A736B">
      <w:pPr>
        <w:adjustRightInd w:val="0"/>
        <w:snapToGrid w:val="0"/>
        <w:spacing w:line="360" w:lineRule="exact"/>
        <w:ind w:firstLine="420" w:firstLineChars="200"/>
        <w:jc w:val="left"/>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各级住房城乡建设主管部门应当参照建筑市场主体“黑名单”，对被人力资源社会保障行政部门列入拖欠农民工工资“黑名单”的建筑市场各方主体加强监管。</w:t>
      </w:r>
    </w:p>
    <w:p w14:paraId="35FA8230">
      <w:pPr>
        <w:spacing w:line="360" w:lineRule="exact"/>
        <w:ind w:firstLine="422" w:firstLineChars="200"/>
        <w:jc w:val="left"/>
        <w:rPr>
          <w:rFonts w:hint="eastAsia" w:ascii="宋体" w:hAnsi="宋体" w:eastAsia="宋体" w:cs="Times New Roman"/>
          <w:color w:val="000000" w:themeColor="text1"/>
          <w:szCs w:val="21"/>
          <w14:textFill>
            <w14:solidFill>
              <w14:schemeClr w14:val="tx1"/>
            </w14:solidFill>
          </w14:textFill>
        </w:rPr>
      </w:pPr>
      <w:r>
        <w:rPr>
          <w:rFonts w:hint="eastAsia" w:ascii="仿宋_GB2312" w:hAnsi="Calibri" w:eastAsia="仿宋_GB2312" w:cs="Times New Roman"/>
          <w:b/>
          <w:color w:val="000000" w:themeColor="text1"/>
          <w:szCs w:val="21"/>
          <w14:textFill>
            <w14:solidFill>
              <w14:schemeClr w14:val="tx1"/>
            </w14:solidFill>
          </w14:textFill>
        </w:rPr>
        <w:t>依据：《</w:t>
      </w:r>
      <w:bookmarkStart w:id="270" w:name="OLE_LINK18"/>
      <w:bookmarkStart w:id="271" w:name="OLE_LINK17"/>
      <w:r>
        <w:rPr>
          <w:rFonts w:hint="eastAsia" w:ascii="仿宋_GB2312" w:hAnsi="Calibri" w:eastAsia="仿宋_GB2312" w:cs="Times New Roman"/>
          <w:b/>
          <w:color w:val="000000" w:themeColor="text1"/>
          <w:szCs w:val="21"/>
          <w14:textFill>
            <w14:solidFill>
              <w14:schemeClr w14:val="tx1"/>
            </w14:solidFill>
          </w14:textFill>
        </w:rPr>
        <w:t>建筑市场信用管理暂行办法</w:t>
      </w:r>
      <w:bookmarkEnd w:id="270"/>
      <w:bookmarkEnd w:id="271"/>
      <w:r>
        <w:rPr>
          <w:rFonts w:hint="eastAsia" w:ascii="仿宋_GB2312" w:hAnsi="Calibri" w:eastAsia="仿宋_GB2312" w:cs="Times New Roman"/>
          <w:b/>
          <w:color w:val="000000" w:themeColor="text1"/>
          <w:szCs w:val="21"/>
          <w14:textFill>
            <w14:solidFill>
              <w14:schemeClr w14:val="tx1"/>
            </w14:solidFill>
          </w14:textFill>
        </w:rPr>
        <w:t>》（建市〔2017〕241号）</w:t>
      </w:r>
    </w:p>
    <w:p w14:paraId="66613102">
      <w:pPr>
        <w:adjustRightInd w:val="0"/>
        <w:snapToGrid w:val="0"/>
        <w:spacing w:line="360" w:lineRule="exact"/>
        <w:rPr>
          <w:rFonts w:hint="eastAsia" w:ascii="仿宋_GB2312" w:hAnsi="宋体" w:eastAsia="仿宋_GB2312" w:cs="Times New Roman"/>
          <w:b/>
          <w:color w:val="000000" w:themeColor="text1"/>
          <w:szCs w:val="21"/>
          <w14:textFill>
            <w14:solidFill>
              <w14:schemeClr w14:val="tx1"/>
            </w14:solidFill>
          </w14:textFill>
        </w:rPr>
      </w:pPr>
    </w:p>
    <w:p w14:paraId="39A1F97C">
      <w:pPr>
        <w:adjustRightInd w:val="0"/>
        <w:snapToGrid w:val="0"/>
        <w:spacing w:line="360" w:lineRule="exact"/>
        <w:ind w:firstLine="422" w:firstLineChars="200"/>
        <w:rPr>
          <w:rFonts w:hint="eastAsia" w:ascii="仿宋_GB2312" w:hAnsi="宋体" w:eastAsia="仿宋_GB2312" w:cs="Times New Roman"/>
          <w:b/>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六、</w:t>
      </w:r>
      <w:bookmarkStart w:id="272" w:name="OLE_LINK20"/>
      <w:bookmarkStart w:id="273" w:name="OLE_LINK19"/>
      <w:r>
        <w:rPr>
          <w:rFonts w:hint="eastAsia" w:ascii="仿宋_GB2312" w:hAnsi="宋体" w:eastAsia="仿宋_GB2312" w:cs="Times New Roman"/>
          <w:b/>
          <w:color w:val="000000" w:themeColor="text1"/>
          <w:szCs w:val="21"/>
          <w14:textFill>
            <w14:solidFill>
              <w14:schemeClr w14:val="tx1"/>
            </w14:solidFill>
          </w14:textFill>
        </w:rPr>
        <w:t>政府采购严重失信行为</w:t>
      </w:r>
      <w:bookmarkEnd w:id="272"/>
      <w:bookmarkEnd w:id="273"/>
    </w:p>
    <w:p w14:paraId="15ECE922">
      <w:pPr>
        <w:adjustRightInd w:val="0"/>
        <w:snapToGrid w:val="0"/>
        <w:spacing w:line="360" w:lineRule="exact"/>
        <w:ind w:firstLine="615"/>
        <w:rPr>
          <w:rFonts w:ascii="仿宋_GB2312" w:hAnsi="Calibri" w:eastAsia="仿宋_GB2312" w:cs="Times New Roman"/>
          <w:color w:val="000000" w:themeColor="text1"/>
          <w:szCs w:val="21"/>
          <w14:textFill>
            <w14:solidFill>
              <w14:schemeClr w14:val="tx1"/>
            </w14:solidFill>
          </w14:textFill>
        </w:rPr>
      </w:pPr>
      <w:r>
        <w:rPr>
          <w:rFonts w:hint="eastAsia" w:ascii="仿宋_GB2312" w:hAnsi="Calibri" w:eastAsia="仿宋_GB2312" w:cs="Times New Roman"/>
          <w:color w:val="000000" w:themeColor="text1"/>
          <w:szCs w:val="21"/>
          <w14:textFill>
            <w14:solidFill>
              <w14:schemeClr w14:val="tx1"/>
            </w14:solidFill>
          </w14:textFill>
        </w:rPr>
        <w:t>投标人、采购代理机构在三年内受到财政部门作出下列情形之一的行政处罚，列入政府采购严重违法失信行为记录名单。</w:t>
      </w:r>
      <w:r>
        <w:rPr>
          <w:rFonts w:hint="eastAsia" w:ascii="仿宋_GB2312" w:hAnsi="Calibri" w:eastAsia="仿宋_GB2312" w:cs="Times New Roman"/>
          <w:color w:val="000000" w:themeColor="text1"/>
          <w:szCs w:val="21"/>
          <w14:textFill>
            <w14:solidFill>
              <w14:schemeClr w14:val="tx1"/>
            </w14:solidFill>
          </w14:textFill>
        </w:rPr>
        <w:br w:type="textWrapping"/>
      </w:r>
      <w:r>
        <w:rPr>
          <w:rFonts w:hint="eastAsia" w:ascii="仿宋_GB2312" w:hAnsi="Calibri" w:eastAsia="仿宋_GB2312" w:cs="Times New Roman"/>
          <w:color w:val="000000" w:themeColor="text1"/>
          <w:szCs w:val="21"/>
          <w14:textFill>
            <w14:solidFill>
              <w14:schemeClr w14:val="tx1"/>
            </w14:solidFill>
          </w14:textFill>
        </w:rPr>
        <w:t>　　（一）三万元以上罚款；</w:t>
      </w:r>
      <w:r>
        <w:rPr>
          <w:rFonts w:hint="eastAsia" w:ascii="仿宋_GB2312" w:hAnsi="Calibri" w:eastAsia="仿宋_GB2312" w:cs="Times New Roman"/>
          <w:color w:val="000000" w:themeColor="text1"/>
          <w:szCs w:val="21"/>
          <w14:textFill>
            <w14:solidFill>
              <w14:schemeClr w14:val="tx1"/>
            </w14:solidFill>
          </w14:textFill>
        </w:rPr>
        <w:br w:type="textWrapping"/>
      </w:r>
      <w:r>
        <w:rPr>
          <w:rFonts w:hint="eastAsia" w:ascii="仿宋_GB2312" w:hAnsi="Calibri" w:eastAsia="仿宋_GB2312" w:cs="Times New Roman"/>
          <w:color w:val="000000" w:themeColor="text1"/>
          <w:szCs w:val="21"/>
          <w14:textFill>
            <w14:solidFill>
              <w14:schemeClr w14:val="tx1"/>
            </w14:solidFill>
          </w14:textFill>
        </w:rPr>
        <w:t>　　（二）在一至三年内禁止参加政府采购活动（处罚期限届满的除外）；</w:t>
      </w:r>
      <w:r>
        <w:rPr>
          <w:rFonts w:hint="eastAsia" w:ascii="仿宋_GB2312" w:hAnsi="Calibri" w:eastAsia="仿宋_GB2312" w:cs="Times New Roman"/>
          <w:color w:val="000000" w:themeColor="text1"/>
          <w:szCs w:val="21"/>
          <w14:textFill>
            <w14:solidFill>
              <w14:schemeClr w14:val="tx1"/>
            </w14:solidFill>
          </w14:textFill>
        </w:rPr>
        <w:br w:type="textWrapping"/>
      </w:r>
      <w:r>
        <w:rPr>
          <w:rFonts w:hint="eastAsia" w:ascii="仿宋_GB2312" w:hAnsi="Calibri" w:eastAsia="仿宋_GB2312" w:cs="Times New Roman"/>
          <w:color w:val="000000" w:themeColor="text1"/>
          <w:szCs w:val="21"/>
          <w14:textFill>
            <w14:solidFill>
              <w14:schemeClr w14:val="tx1"/>
            </w14:solidFill>
          </w14:textFill>
        </w:rPr>
        <w:t>　　（三）在一至三年内禁止代理政府采购业务（处罚期限届满的除外）；</w:t>
      </w:r>
      <w:r>
        <w:rPr>
          <w:rFonts w:hint="eastAsia" w:ascii="仿宋_GB2312" w:hAnsi="Calibri" w:eastAsia="仿宋_GB2312" w:cs="Times New Roman"/>
          <w:color w:val="000000" w:themeColor="text1"/>
          <w:szCs w:val="21"/>
          <w14:textFill>
            <w14:solidFill>
              <w14:schemeClr w14:val="tx1"/>
            </w14:solidFill>
          </w14:textFill>
        </w:rPr>
        <w:br w:type="textWrapping"/>
      </w:r>
      <w:r>
        <w:rPr>
          <w:rFonts w:hint="eastAsia" w:ascii="仿宋_GB2312" w:hAnsi="宋体" w:eastAsia="仿宋_GB2312" w:cs="Times New Roman"/>
          <w:color w:val="000000" w:themeColor="text1"/>
          <w:szCs w:val="21"/>
          <w14:textFill>
            <w14:solidFill>
              <w14:schemeClr w14:val="tx1"/>
            </w14:solidFill>
          </w14:textFill>
        </w:rPr>
        <w:t xml:space="preserve">　 </w:t>
      </w:r>
      <w:r>
        <w:rPr>
          <w:rFonts w:hint="eastAsia" w:ascii="仿宋_GB2312" w:hAnsi="Calibri" w:eastAsia="仿宋_GB2312" w:cs="Times New Roman"/>
          <w:color w:val="000000" w:themeColor="text1"/>
          <w:szCs w:val="21"/>
          <w14:textFill>
            <w14:solidFill>
              <w14:schemeClr w14:val="tx1"/>
            </w14:solidFill>
          </w14:textFill>
        </w:rPr>
        <w:t>（四）撤销政府采购代理机构资格（仅针对《政府采购法》第78条修改前作出的处罚决定）。</w:t>
      </w:r>
    </w:p>
    <w:p w14:paraId="3CB88416">
      <w:pPr>
        <w:adjustRightInd w:val="0"/>
        <w:snapToGrid w:val="0"/>
        <w:spacing w:line="360" w:lineRule="exact"/>
        <w:ind w:firstLine="422" w:firstLineChars="200"/>
        <w:jc w:val="left"/>
        <w:rPr>
          <w:rFonts w:ascii="仿宋_GB2312" w:hAnsi="Calibri" w:eastAsia="仿宋_GB2312" w:cs="Times New Roman"/>
          <w:b/>
          <w:color w:val="000000" w:themeColor="text1"/>
          <w:szCs w:val="21"/>
          <w14:textFill>
            <w14:solidFill>
              <w14:schemeClr w14:val="tx1"/>
            </w14:solidFill>
          </w14:textFill>
        </w:rPr>
      </w:pPr>
      <w:r>
        <w:rPr>
          <w:rFonts w:hint="eastAsia" w:ascii="仿宋_GB2312" w:hAnsi="Calibri" w:eastAsia="仿宋_GB2312" w:cs="Times New Roman"/>
          <w:b/>
          <w:color w:val="000000" w:themeColor="text1"/>
          <w:szCs w:val="21"/>
          <w14:textFill>
            <w14:solidFill>
              <w14:schemeClr w14:val="tx1"/>
            </w14:solidFill>
          </w14:textFill>
        </w:rPr>
        <w:t>依据：《关于报送政府采购严重违法失信行为信息记录的通知》</w:t>
      </w:r>
      <w:r>
        <w:rPr>
          <w:rFonts w:ascii="Calibri" w:hAnsi="Calibri" w:eastAsia="宋体" w:cs="Times New Roman"/>
          <w:b/>
          <w:color w:val="000000" w:themeColor="text1"/>
          <w:szCs w:val="21"/>
          <w14:textFill>
            <w14:solidFill>
              <w14:schemeClr w14:val="tx1"/>
            </w14:solidFill>
          </w14:textFill>
        </w:rPr>
        <w:t>（</w:t>
      </w:r>
      <w:r>
        <w:rPr>
          <w:rFonts w:hint="eastAsia" w:ascii="Calibri" w:hAnsi="Calibri" w:eastAsia="宋体" w:cs="Times New Roman"/>
          <w:b/>
          <w:color w:val="000000" w:themeColor="text1"/>
          <w:szCs w:val="21"/>
          <w14:textFill>
            <w14:solidFill>
              <w14:schemeClr w14:val="tx1"/>
            </w14:solidFill>
          </w14:textFill>
        </w:rPr>
        <w:t>财办库〔</w:t>
      </w:r>
      <w:r>
        <w:rPr>
          <w:rFonts w:ascii="Calibri" w:hAnsi="Calibri" w:eastAsia="宋体" w:cs="Times New Roman"/>
          <w:b/>
          <w:color w:val="000000" w:themeColor="text1"/>
          <w:szCs w:val="21"/>
          <w14:textFill>
            <w14:solidFill>
              <w14:schemeClr w14:val="tx1"/>
            </w14:solidFill>
          </w14:textFill>
        </w:rPr>
        <w:t>201</w:t>
      </w:r>
      <w:r>
        <w:rPr>
          <w:rFonts w:hint="eastAsia" w:ascii="Calibri" w:hAnsi="Calibri" w:eastAsia="宋体" w:cs="Times New Roman"/>
          <w:b/>
          <w:color w:val="000000" w:themeColor="text1"/>
          <w:szCs w:val="21"/>
          <w14:textFill>
            <w14:solidFill>
              <w14:schemeClr w14:val="tx1"/>
            </w14:solidFill>
          </w14:textFill>
        </w:rPr>
        <w:t>4〕526</w:t>
      </w:r>
      <w:r>
        <w:rPr>
          <w:rFonts w:ascii="Calibri" w:hAnsi="Calibri" w:eastAsia="宋体" w:cs="Times New Roman"/>
          <w:b/>
          <w:color w:val="000000" w:themeColor="text1"/>
          <w:szCs w:val="21"/>
          <w14:textFill>
            <w14:solidFill>
              <w14:schemeClr w14:val="tx1"/>
            </w14:solidFill>
          </w14:textFill>
        </w:rPr>
        <w:t>号）</w:t>
      </w:r>
    </w:p>
    <w:p w14:paraId="0DB00574">
      <w:pPr>
        <w:adjustRightInd w:val="0"/>
        <w:snapToGrid w:val="0"/>
        <w:spacing w:line="360" w:lineRule="exact"/>
        <w:rPr>
          <w:rFonts w:hint="eastAsia" w:ascii="仿宋_GB2312" w:hAnsi="宋体" w:eastAsia="仿宋_GB2312" w:cs="Times New Roman"/>
          <w:b/>
          <w:color w:val="000000" w:themeColor="text1"/>
          <w:szCs w:val="21"/>
          <w14:textFill>
            <w14:solidFill>
              <w14:schemeClr w14:val="tx1"/>
            </w14:solidFill>
          </w14:textFill>
        </w:rPr>
      </w:pPr>
    </w:p>
    <w:p w14:paraId="34CDF53A">
      <w:pPr>
        <w:pStyle w:val="9"/>
        <w:spacing w:after="0" w:line="360" w:lineRule="exact"/>
        <w:rPr>
          <w:rFonts w:hint="eastAsia" w:ascii="宋体" w:hAnsi="宋体" w:eastAsia="宋体" w:cs="宋体"/>
          <w:color w:val="000000" w:themeColor="text1"/>
          <w:szCs w:val="21"/>
          <w14:textFill>
            <w14:solidFill>
              <w14:schemeClr w14:val="tx1"/>
            </w14:solidFill>
          </w14:textFill>
        </w:rPr>
      </w:pPr>
      <w:r>
        <w:rPr>
          <w:rFonts w:hint="eastAsia" w:ascii="仿宋_GB2312" w:hAnsi="宋体" w:eastAsia="仿宋_GB2312" w:cs="Times New Roman"/>
          <w:b/>
          <w:color w:val="000000" w:themeColor="text1"/>
          <w:szCs w:val="21"/>
          <w14:textFill>
            <w14:solidFill>
              <w14:schemeClr w14:val="tx1"/>
            </w14:solidFill>
          </w14:textFill>
        </w:rPr>
        <w:t>未列出的其他类别严重失信行为，由采购人（代理机构）根据各类别行业主管部门下发的联合惩戒文件进行判断。</w:t>
      </w:r>
    </w:p>
    <w:sectPr>
      <w:headerReference r:id="rId5" w:type="default"/>
      <w:footerReference r:id="rId6" w:type="default"/>
      <w:pgSz w:w="11906" w:h="16838"/>
      <w:pgMar w:top="1440" w:right="1417" w:bottom="1440" w:left="141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微软简标宋">
    <w:altName w:val="宋体"/>
    <w:panose1 w:val="00000000000000000000"/>
    <w:charset w:val="86"/>
    <w:family w:val="auto"/>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panose1 w:val="02020509000000000000"/>
    <w:charset w:val="88"/>
    <w:family w:val="modern"/>
    <w:pitch w:val="default"/>
    <w:sig w:usb0="A00002FF" w:usb1="28CFFCFA" w:usb2="00000016"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983F2">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A177B">
    <w:pPr>
      <w:pStyle w:val="16"/>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AD17A">
                          <w:pPr>
                            <w:pStyle w:val="16"/>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8AD17A">
                    <w:pPr>
                      <w:pStyle w:val="16"/>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33758">
    <w:pPr>
      <w:pStyle w:val="18"/>
      <w:pBdr>
        <w:bottom w:val="none" w:color="auto" w:sz="0" w:space="1"/>
      </w:pBdr>
      <w:jc w:val="left"/>
      <w:rPr>
        <w:rFonts w:hint="eastAsia" w:asciiTheme="minorEastAsia" w:hAnsiTheme="minorEastAsia"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58AE">
    <w:pPr>
      <w:pStyle w:val="18"/>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3379E"/>
    <w:multiLevelType w:val="multilevel"/>
    <w:tmpl w:val="2323379E"/>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A064A37"/>
    <w:multiLevelType w:val="singleLevel"/>
    <w:tmpl w:val="2A064A37"/>
    <w:lvl w:ilvl="0" w:tentative="0">
      <w:start w:val="3"/>
      <w:numFmt w:val="chineseCounting"/>
      <w:suff w:val="space"/>
      <w:lvlText w:val="第%1章"/>
      <w:lvlJc w:val="left"/>
      <w:rPr>
        <w:rFonts w:hint="eastAsia"/>
      </w:rPr>
    </w:lvl>
  </w:abstractNum>
  <w:abstractNum w:abstractNumId="2">
    <w:nsid w:val="2C6B0175"/>
    <w:multiLevelType w:val="singleLevel"/>
    <w:tmpl w:val="2C6B0175"/>
    <w:lvl w:ilvl="0" w:tentative="0">
      <w:start w:val="5"/>
      <w:numFmt w:val="chineseCounting"/>
      <w:suff w:val="nothing"/>
      <w:lvlText w:val="%1、"/>
      <w:lvlJc w:val="left"/>
      <w:rPr>
        <w:rFonts w:hint="eastAsia"/>
      </w:rPr>
    </w:lvl>
  </w:abstractNum>
  <w:abstractNum w:abstractNumId="3">
    <w:nsid w:val="331317D8"/>
    <w:multiLevelType w:val="singleLevel"/>
    <w:tmpl w:val="331317D8"/>
    <w:lvl w:ilvl="0" w:tentative="0">
      <w:start w:val="2"/>
      <w:numFmt w:val="decimal"/>
      <w:suff w:val="nothing"/>
      <w:lvlText w:val="%1、"/>
      <w:lvlJc w:val="left"/>
    </w:lvl>
  </w:abstractNum>
  <w:abstractNum w:abstractNumId="4">
    <w:nsid w:val="429426D2"/>
    <w:multiLevelType w:val="singleLevel"/>
    <w:tmpl w:val="429426D2"/>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3M2M2Y2JhYzUxZDQwOGI5OWNiODQyNTYwMmFhYzg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6557"/>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57B0"/>
    <w:rsid w:val="00276292"/>
    <w:rsid w:val="00276BA1"/>
    <w:rsid w:val="00277094"/>
    <w:rsid w:val="00286BB6"/>
    <w:rsid w:val="00287590"/>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140B0"/>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2A85"/>
    <w:rsid w:val="00584A63"/>
    <w:rsid w:val="00585EB3"/>
    <w:rsid w:val="00591688"/>
    <w:rsid w:val="00592509"/>
    <w:rsid w:val="00594986"/>
    <w:rsid w:val="00597B15"/>
    <w:rsid w:val="005A044C"/>
    <w:rsid w:val="005B5C95"/>
    <w:rsid w:val="005B6740"/>
    <w:rsid w:val="005C7C15"/>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2EC"/>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125C"/>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402CA"/>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050D"/>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0527"/>
    <w:rsid w:val="00995BF9"/>
    <w:rsid w:val="00997C3C"/>
    <w:rsid w:val="009A0CAF"/>
    <w:rsid w:val="009A1474"/>
    <w:rsid w:val="009A2207"/>
    <w:rsid w:val="009A5147"/>
    <w:rsid w:val="009A74C4"/>
    <w:rsid w:val="009B02D2"/>
    <w:rsid w:val="009B6C42"/>
    <w:rsid w:val="009D31F7"/>
    <w:rsid w:val="009D32C2"/>
    <w:rsid w:val="009D50DB"/>
    <w:rsid w:val="009E0076"/>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0DF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52BD"/>
    <w:rsid w:val="00BF62CF"/>
    <w:rsid w:val="00BF6B98"/>
    <w:rsid w:val="00BF73D6"/>
    <w:rsid w:val="00C06545"/>
    <w:rsid w:val="00C1161C"/>
    <w:rsid w:val="00C15866"/>
    <w:rsid w:val="00C17F66"/>
    <w:rsid w:val="00C220FC"/>
    <w:rsid w:val="00C23C86"/>
    <w:rsid w:val="00C24DFA"/>
    <w:rsid w:val="00C2558E"/>
    <w:rsid w:val="00C34DAD"/>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4B34"/>
    <w:rsid w:val="00CB5797"/>
    <w:rsid w:val="00CB6050"/>
    <w:rsid w:val="00CC1202"/>
    <w:rsid w:val="00CC4099"/>
    <w:rsid w:val="00CC45C1"/>
    <w:rsid w:val="00CD09E1"/>
    <w:rsid w:val="00CD5078"/>
    <w:rsid w:val="00CD595E"/>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108D"/>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32B"/>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0613AE"/>
    <w:rsid w:val="01092D9E"/>
    <w:rsid w:val="0134106F"/>
    <w:rsid w:val="01464A15"/>
    <w:rsid w:val="01500C5D"/>
    <w:rsid w:val="016D6C2A"/>
    <w:rsid w:val="01A12229"/>
    <w:rsid w:val="01C32498"/>
    <w:rsid w:val="02025461"/>
    <w:rsid w:val="0214602E"/>
    <w:rsid w:val="02185A90"/>
    <w:rsid w:val="021E60C8"/>
    <w:rsid w:val="02A01AC6"/>
    <w:rsid w:val="02A70B2F"/>
    <w:rsid w:val="02AD7AC3"/>
    <w:rsid w:val="02BA3F8E"/>
    <w:rsid w:val="02C848FD"/>
    <w:rsid w:val="02CA1EB1"/>
    <w:rsid w:val="02D408DF"/>
    <w:rsid w:val="02F70D3E"/>
    <w:rsid w:val="03006E39"/>
    <w:rsid w:val="03025470"/>
    <w:rsid w:val="034743FD"/>
    <w:rsid w:val="03486B27"/>
    <w:rsid w:val="034D095E"/>
    <w:rsid w:val="035450CC"/>
    <w:rsid w:val="03561F09"/>
    <w:rsid w:val="035937A7"/>
    <w:rsid w:val="035B02C4"/>
    <w:rsid w:val="03B7227C"/>
    <w:rsid w:val="03CD109D"/>
    <w:rsid w:val="03D609D8"/>
    <w:rsid w:val="03E5328D"/>
    <w:rsid w:val="040A094E"/>
    <w:rsid w:val="041D42E4"/>
    <w:rsid w:val="042133C7"/>
    <w:rsid w:val="044A30F0"/>
    <w:rsid w:val="04506958"/>
    <w:rsid w:val="045D72C7"/>
    <w:rsid w:val="04763EE5"/>
    <w:rsid w:val="049532F8"/>
    <w:rsid w:val="04D01847"/>
    <w:rsid w:val="04D23811"/>
    <w:rsid w:val="04E36C96"/>
    <w:rsid w:val="050C655C"/>
    <w:rsid w:val="053814D9"/>
    <w:rsid w:val="0541763F"/>
    <w:rsid w:val="055F2BCB"/>
    <w:rsid w:val="056800F4"/>
    <w:rsid w:val="056A1C9B"/>
    <w:rsid w:val="056F201D"/>
    <w:rsid w:val="05993309"/>
    <w:rsid w:val="059A3C03"/>
    <w:rsid w:val="05A0746B"/>
    <w:rsid w:val="05B11678"/>
    <w:rsid w:val="05B64EE1"/>
    <w:rsid w:val="05B664D4"/>
    <w:rsid w:val="05D069D9"/>
    <w:rsid w:val="062D3EC0"/>
    <w:rsid w:val="065C2940"/>
    <w:rsid w:val="06767BAD"/>
    <w:rsid w:val="068943A3"/>
    <w:rsid w:val="068F128E"/>
    <w:rsid w:val="0696086E"/>
    <w:rsid w:val="06A765D7"/>
    <w:rsid w:val="06A87133"/>
    <w:rsid w:val="06AB256C"/>
    <w:rsid w:val="06C23BE1"/>
    <w:rsid w:val="07076C01"/>
    <w:rsid w:val="070E48A8"/>
    <w:rsid w:val="071C12AC"/>
    <w:rsid w:val="071D508F"/>
    <w:rsid w:val="074E231E"/>
    <w:rsid w:val="07A86AAB"/>
    <w:rsid w:val="07A934B3"/>
    <w:rsid w:val="07DB768C"/>
    <w:rsid w:val="07F13FAE"/>
    <w:rsid w:val="0800161B"/>
    <w:rsid w:val="088E7A4F"/>
    <w:rsid w:val="08A41020"/>
    <w:rsid w:val="08B15E54"/>
    <w:rsid w:val="08D4142E"/>
    <w:rsid w:val="08DE0AA8"/>
    <w:rsid w:val="08E21B49"/>
    <w:rsid w:val="08F71A98"/>
    <w:rsid w:val="0935436E"/>
    <w:rsid w:val="09371E95"/>
    <w:rsid w:val="09523172"/>
    <w:rsid w:val="09532B13"/>
    <w:rsid w:val="097C01EF"/>
    <w:rsid w:val="0980799C"/>
    <w:rsid w:val="09F91840"/>
    <w:rsid w:val="0A0D7099"/>
    <w:rsid w:val="0A0F6376"/>
    <w:rsid w:val="0A122902"/>
    <w:rsid w:val="0A283E16"/>
    <w:rsid w:val="0A2A7C4B"/>
    <w:rsid w:val="0A353CEA"/>
    <w:rsid w:val="0A432ABB"/>
    <w:rsid w:val="0A6A18DB"/>
    <w:rsid w:val="0A79472F"/>
    <w:rsid w:val="0ABD0ABF"/>
    <w:rsid w:val="0AD1756E"/>
    <w:rsid w:val="0ADB075F"/>
    <w:rsid w:val="0ADE6740"/>
    <w:rsid w:val="0AEF3828"/>
    <w:rsid w:val="0B04049C"/>
    <w:rsid w:val="0B472137"/>
    <w:rsid w:val="0B8D4DCB"/>
    <w:rsid w:val="0BBB665B"/>
    <w:rsid w:val="0BD231D1"/>
    <w:rsid w:val="0BE23141"/>
    <w:rsid w:val="0C2801BA"/>
    <w:rsid w:val="0C2A3F33"/>
    <w:rsid w:val="0C3D1EB8"/>
    <w:rsid w:val="0C452B1A"/>
    <w:rsid w:val="0C4B5C57"/>
    <w:rsid w:val="0C5C1C12"/>
    <w:rsid w:val="0C6236CC"/>
    <w:rsid w:val="0C67251C"/>
    <w:rsid w:val="0C871385"/>
    <w:rsid w:val="0C9870EE"/>
    <w:rsid w:val="0CB7664E"/>
    <w:rsid w:val="0CBB2DDD"/>
    <w:rsid w:val="0CD37FCA"/>
    <w:rsid w:val="0D1644B7"/>
    <w:rsid w:val="0D297E2C"/>
    <w:rsid w:val="0D4252AC"/>
    <w:rsid w:val="0D5B3087"/>
    <w:rsid w:val="0D6E60A1"/>
    <w:rsid w:val="0D7C7BA9"/>
    <w:rsid w:val="0DCB34F3"/>
    <w:rsid w:val="0DCD726B"/>
    <w:rsid w:val="0DE27F74"/>
    <w:rsid w:val="0DFC18FF"/>
    <w:rsid w:val="0E1B72C3"/>
    <w:rsid w:val="0E2427B0"/>
    <w:rsid w:val="0E2502F7"/>
    <w:rsid w:val="0E320E7D"/>
    <w:rsid w:val="0E417312"/>
    <w:rsid w:val="0E4D3F08"/>
    <w:rsid w:val="0E4F7C80"/>
    <w:rsid w:val="0E567261"/>
    <w:rsid w:val="0E816EC5"/>
    <w:rsid w:val="0E910299"/>
    <w:rsid w:val="0ED75CBE"/>
    <w:rsid w:val="0EEA6FC1"/>
    <w:rsid w:val="0EF97BEC"/>
    <w:rsid w:val="0F1D38DB"/>
    <w:rsid w:val="0F1D7D7F"/>
    <w:rsid w:val="0F253D36"/>
    <w:rsid w:val="0F2E7896"/>
    <w:rsid w:val="0F3A0931"/>
    <w:rsid w:val="0F3D431A"/>
    <w:rsid w:val="0F452E31"/>
    <w:rsid w:val="0F4D4A13"/>
    <w:rsid w:val="0F5117D6"/>
    <w:rsid w:val="0F655282"/>
    <w:rsid w:val="0F7B4977"/>
    <w:rsid w:val="0F954485"/>
    <w:rsid w:val="0FB63A2F"/>
    <w:rsid w:val="0FBF344F"/>
    <w:rsid w:val="0FC85F3C"/>
    <w:rsid w:val="0FFC3E38"/>
    <w:rsid w:val="102F2FAA"/>
    <w:rsid w:val="103D0B2D"/>
    <w:rsid w:val="104D3FBF"/>
    <w:rsid w:val="10505F32"/>
    <w:rsid w:val="105A27E6"/>
    <w:rsid w:val="1072728E"/>
    <w:rsid w:val="107514F4"/>
    <w:rsid w:val="108F25B6"/>
    <w:rsid w:val="10A44501"/>
    <w:rsid w:val="10A9739F"/>
    <w:rsid w:val="10AA2865"/>
    <w:rsid w:val="10CA5CE4"/>
    <w:rsid w:val="10CB61D2"/>
    <w:rsid w:val="10DC1574"/>
    <w:rsid w:val="10DE709A"/>
    <w:rsid w:val="10FD7E68"/>
    <w:rsid w:val="111B209C"/>
    <w:rsid w:val="115D26B4"/>
    <w:rsid w:val="115D4A7A"/>
    <w:rsid w:val="11716160"/>
    <w:rsid w:val="117278DA"/>
    <w:rsid w:val="11755C50"/>
    <w:rsid w:val="119B0711"/>
    <w:rsid w:val="11A436B4"/>
    <w:rsid w:val="11DF756D"/>
    <w:rsid w:val="11F72B09"/>
    <w:rsid w:val="12197477"/>
    <w:rsid w:val="121C16F2"/>
    <w:rsid w:val="121E62E8"/>
    <w:rsid w:val="12771554"/>
    <w:rsid w:val="129465AA"/>
    <w:rsid w:val="12AB1359"/>
    <w:rsid w:val="12BE27B4"/>
    <w:rsid w:val="12D270D2"/>
    <w:rsid w:val="12E54781"/>
    <w:rsid w:val="12EA61CA"/>
    <w:rsid w:val="12F708E7"/>
    <w:rsid w:val="13051255"/>
    <w:rsid w:val="130C65B6"/>
    <w:rsid w:val="13141499"/>
    <w:rsid w:val="131F0DB1"/>
    <w:rsid w:val="132E0DA8"/>
    <w:rsid w:val="1347361C"/>
    <w:rsid w:val="134F4807"/>
    <w:rsid w:val="1351392A"/>
    <w:rsid w:val="13516249"/>
    <w:rsid w:val="13587E2C"/>
    <w:rsid w:val="13596EAB"/>
    <w:rsid w:val="135C0DDD"/>
    <w:rsid w:val="1376217B"/>
    <w:rsid w:val="13BF1404"/>
    <w:rsid w:val="13C46A1B"/>
    <w:rsid w:val="14184FB8"/>
    <w:rsid w:val="143D2059"/>
    <w:rsid w:val="14480D38"/>
    <w:rsid w:val="1466407E"/>
    <w:rsid w:val="147F6DE6"/>
    <w:rsid w:val="14834E28"/>
    <w:rsid w:val="148E7D65"/>
    <w:rsid w:val="14975EDD"/>
    <w:rsid w:val="14BD3697"/>
    <w:rsid w:val="14CB202B"/>
    <w:rsid w:val="14CF18E1"/>
    <w:rsid w:val="151D4243"/>
    <w:rsid w:val="15231BF9"/>
    <w:rsid w:val="154E24EE"/>
    <w:rsid w:val="15674AE4"/>
    <w:rsid w:val="1590464C"/>
    <w:rsid w:val="159D5775"/>
    <w:rsid w:val="15B12FCF"/>
    <w:rsid w:val="15C0199B"/>
    <w:rsid w:val="15C77B67"/>
    <w:rsid w:val="15DD5B72"/>
    <w:rsid w:val="16210154"/>
    <w:rsid w:val="16463905"/>
    <w:rsid w:val="16781D3E"/>
    <w:rsid w:val="168924CC"/>
    <w:rsid w:val="169923E1"/>
    <w:rsid w:val="16C94348"/>
    <w:rsid w:val="171811A1"/>
    <w:rsid w:val="17343EB7"/>
    <w:rsid w:val="17941A60"/>
    <w:rsid w:val="179F5278"/>
    <w:rsid w:val="17AC1CA0"/>
    <w:rsid w:val="17F415A6"/>
    <w:rsid w:val="180712E0"/>
    <w:rsid w:val="181264EA"/>
    <w:rsid w:val="1824217E"/>
    <w:rsid w:val="18294231"/>
    <w:rsid w:val="184C5231"/>
    <w:rsid w:val="185760AF"/>
    <w:rsid w:val="186F6BAA"/>
    <w:rsid w:val="18786026"/>
    <w:rsid w:val="18A8690B"/>
    <w:rsid w:val="18A94431"/>
    <w:rsid w:val="18EE62E8"/>
    <w:rsid w:val="191E097B"/>
    <w:rsid w:val="19267830"/>
    <w:rsid w:val="19482659"/>
    <w:rsid w:val="19483C4A"/>
    <w:rsid w:val="195425EF"/>
    <w:rsid w:val="19762565"/>
    <w:rsid w:val="19BC0704"/>
    <w:rsid w:val="19C706EF"/>
    <w:rsid w:val="19CE05F3"/>
    <w:rsid w:val="19E46234"/>
    <w:rsid w:val="1A134258"/>
    <w:rsid w:val="1A217981"/>
    <w:rsid w:val="1A3B68AA"/>
    <w:rsid w:val="1A3E1C1E"/>
    <w:rsid w:val="1A7F5449"/>
    <w:rsid w:val="1A8567D8"/>
    <w:rsid w:val="1A9133CF"/>
    <w:rsid w:val="1A9A04D5"/>
    <w:rsid w:val="1AA255DC"/>
    <w:rsid w:val="1AC63078"/>
    <w:rsid w:val="1B0645A2"/>
    <w:rsid w:val="1B0F0EC3"/>
    <w:rsid w:val="1B34418A"/>
    <w:rsid w:val="1B446693"/>
    <w:rsid w:val="1B7F1217"/>
    <w:rsid w:val="1B880F59"/>
    <w:rsid w:val="1B965141"/>
    <w:rsid w:val="1BAD4238"/>
    <w:rsid w:val="1BC3580A"/>
    <w:rsid w:val="1BCA6B98"/>
    <w:rsid w:val="1BD367AA"/>
    <w:rsid w:val="1BDD73E3"/>
    <w:rsid w:val="1C074BB1"/>
    <w:rsid w:val="1C0F0A4F"/>
    <w:rsid w:val="1C141836"/>
    <w:rsid w:val="1C220782"/>
    <w:rsid w:val="1C2A7AF4"/>
    <w:rsid w:val="1C2E5379"/>
    <w:rsid w:val="1C5E37AF"/>
    <w:rsid w:val="1C735BE1"/>
    <w:rsid w:val="1C7D3C0B"/>
    <w:rsid w:val="1CA7512B"/>
    <w:rsid w:val="1CC45CDD"/>
    <w:rsid w:val="1CC50501"/>
    <w:rsid w:val="1CD300FF"/>
    <w:rsid w:val="1CE1628F"/>
    <w:rsid w:val="1CEB14BC"/>
    <w:rsid w:val="1D3F5364"/>
    <w:rsid w:val="1D4579DC"/>
    <w:rsid w:val="1D48246B"/>
    <w:rsid w:val="1D552DD9"/>
    <w:rsid w:val="1DBF10A0"/>
    <w:rsid w:val="1DFD14A7"/>
    <w:rsid w:val="1E281110"/>
    <w:rsid w:val="1E35491E"/>
    <w:rsid w:val="1E370C78"/>
    <w:rsid w:val="1E3C2A89"/>
    <w:rsid w:val="1E5D3CF4"/>
    <w:rsid w:val="1E6B6A14"/>
    <w:rsid w:val="1E74728F"/>
    <w:rsid w:val="1E7C37D3"/>
    <w:rsid w:val="1EB21086"/>
    <w:rsid w:val="1F050AA0"/>
    <w:rsid w:val="1F152820"/>
    <w:rsid w:val="1F170346"/>
    <w:rsid w:val="1F59624F"/>
    <w:rsid w:val="1F6A2B6C"/>
    <w:rsid w:val="1F817EB6"/>
    <w:rsid w:val="1F861028"/>
    <w:rsid w:val="1F9D6372"/>
    <w:rsid w:val="1FDD2549"/>
    <w:rsid w:val="1FDE0E64"/>
    <w:rsid w:val="1FF95C9E"/>
    <w:rsid w:val="20097204"/>
    <w:rsid w:val="20210D51"/>
    <w:rsid w:val="202302E6"/>
    <w:rsid w:val="20550D9A"/>
    <w:rsid w:val="20720F5F"/>
    <w:rsid w:val="20994D8B"/>
    <w:rsid w:val="20A200E4"/>
    <w:rsid w:val="20C44DD2"/>
    <w:rsid w:val="20C52024"/>
    <w:rsid w:val="20CA3197"/>
    <w:rsid w:val="2100471D"/>
    <w:rsid w:val="211803A6"/>
    <w:rsid w:val="216435EB"/>
    <w:rsid w:val="21714B53"/>
    <w:rsid w:val="217952E8"/>
    <w:rsid w:val="218E2416"/>
    <w:rsid w:val="2191263E"/>
    <w:rsid w:val="21C916A0"/>
    <w:rsid w:val="21D43FB8"/>
    <w:rsid w:val="22231E49"/>
    <w:rsid w:val="22250FCC"/>
    <w:rsid w:val="222A213F"/>
    <w:rsid w:val="224F4276"/>
    <w:rsid w:val="22574D18"/>
    <w:rsid w:val="22574EFE"/>
    <w:rsid w:val="22631AF5"/>
    <w:rsid w:val="226915FE"/>
    <w:rsid w:val="2288155B"/>
    <w:rsid w:val="22883309"/>
    <w:rsid w:val="228A0E2F"/>
    <w:rsid w:val="22916662"/>
    <w:rsid w:val="229B4DEB"/>
    <w:rsid w:val="22A34EAB"/>
    <w:rsid w:val="22C43BD8"/>
    <w:rsid w:val="22D60519"/>
    <w:rsid w:val="22E14C32"/>
    <w:rsid w:val="23096B6F"/>
    <w:rsid w:val="232474D6"/>
    <w:rsid w:val="232C638A"/>
    <w:rsid w:val="23353491"/>
    <w:rsid w:val="233B7FF8"/>
    <w:rsid w:val="235D02F2"/>
    <w:rsid w:val="237044C9"/>
    <w:rsid w:val="237C2E6E"/>
    <w:rsid w:val="23865A9B"/>
    <w:rsid w:val="23B867AE"/>
    <w:rsid w:val="24092228"/>
    <w:rsid w:val="24140A51"/>
    <w:rsid w:val="24184829"/>
    <w:rsid w:val="241A2687"/>
    <w:rsid w:val="241C52B7"/>
    <w:rsid w:val="2446648F"/>
    <w:rsid w:val="24487F3D"/>
    <w:rsid w:val="245B2554"/>
    <w:rsid w:val="247C6E9E"/>
    <w:rsid w:val="247D50F0"/>
    <w:rsid w:val="24B97929"/>
    <w:rsid w:val="24DE36B4"/>
    <w:rsid w:val="24E54A43"/>
    <w:rsid w:val="24EF7670"/>
    <w:rsid w:val="2520252D"/>
    <w:rsid w:val="25565941"/>
    <w:rsid w:val="257F27A2"/>
    <w:rsid w:val="258C74BA"/>
    <w:rsid w:val="25AC5B1F"/>
    <w:rsid w:val="25B61F3B"/>
    <w:rsid w:val="25BA1A2C"/>
    <w:rsid w:val="25DB5E37"/>
    <w:rsid w:val="26001D5A"/>
    <w:rsid w:val="26163BC1"/>
    <w:rsid w:val="261A4BC0"/>
    <w:rsid w:val="26395B91"/>
    <w:rsid w:val="264659B5"/>
    <w:rsid w:val="264D0108"/>
    <w:rsid w:val="265A6D6B"/>
    <w:rsid w:val="26867B60"/>
    <w:rsid w:val="268A74F7"/>
    <w:rsid w:val="269427E9"/>
    <w:rsid w:val="26C1503C"/>
    <w:rsid w:val="26F40F6D"/>
    <w:rsid w:val="27007912"/>
    <w:rsid w:val="27196C79"/>
    <w:rsid w:val="272E26D1"/>
    <w:rsid w:val="27361586"/>
    <w:rsid w:val="274B78D7"/>
    <w:rsid w:val="27960276"/>
    <w:rsid w:val="279969E1"/>
    <w:rsid w:val="27BA3720"/>
    <w:rsid w:val="27DC037F"/>
    <w:rsid w:val="27FA0805"/>
    <w:rsid w:val="284E0B51"/>
    <w:rsid w:val="285F40CA"/>
    <w:rsid w:val="289E73E3"/>
    <w:rsid w:val="28C01ECB"/>
    <w:rsid w:val="28CF42E7"/>
    <w:rsid w:val="28D913D2"/>
    <w:rsid w:val="28EA6ACC"/>
    <w:rsid w:val="28EC3ECC"/>
    <w:rsid w:val="28F039B6"/>
    <w:rsid w:val="29231FDE"/>
    <w:rsid w:val="293164A9"/>
    <w:rsid w:val="296323DA"/>
    <w:rsid w:val="29763EBB"/>
    <w:rsid w:val="2984482A"/>
    <w:rsid w:val="29B669AE"/>
    <w:rsid w:val="29BF71E3"/>
    <w:rsid w:val="2A127B63"/>
    <w:rsid w:val="2A1462B5"/>
    <w:rsid w:val="2A1B4A63"/>
    <w:rsid w:val="2A1C0F07"/>
    <w:rsid w:val="2A2240B0"/>
    <w:rsid w:val="2A3D2278"/>
    <w:rsid w:val="2A4D7312"/>
    <w:rsid w:val="2A573CED"/>
    <w:rsid w:val="2A5C57A7"/>
    <w:rsid w:val="2A8945C9"/>
    <w:rsid w:val="2AAA4765"/>
    <w:rsid w:val="2AAB0D01"/>
    <w:rsid w:val="2AC21606"/>
    <w:rsid w:val="2AE17A5A"/>
    <w:rsid w:val="2AF63C5E"/>
    <w:rsid w:val="2AF92FF6"/>
    <w:rsid w:val="2B0D4CF3"/>
    <w:rsid w:val="2B25203D"/>
    <w:rsid w:val="2B373B1E"/>
    <w:rsid w:val="2B7E7608"/>
    <w:rsid w:val="2B7F04E9"/>
    <w:rsid w:val="2BA74800"/>
    <w:rsid w:val="2BD17ACF"/>
    <w:rsid w:val="2BF832AE"/>
    <w:rsid w:val="2BFD4970"/>
    <w:rsid w:val="2C305555"/>
    <w:rsid w:val="2C740BB5"/>
    <w:rsid w:val="2C9A21B9"/>
    <w:rsid w:val="2CB610A8"/>
    <w:rsid w:val="2CE20523"/>
    <w:rsid w:val="2CE35D0C"/>
    <w:rsid w:val="2CED0939"/>
    <w:rsid w:val="2D496D68"/>
    <w:rsid w:val="2D60735C"/>
    <w:rsid w:val="2D74105A"/>
    <w:rsid w:val="2D7B3BC0"/>
    <w:rsid w:val="2DAC25A2"/>
    <w:rsid w:val="2DD4533E"/>
    <w:rsid w:val="2DEB34C2"/>
    <w:rsid w:val="2E277E7A"/>
    <w:rsid w:val="2E426A62"/>
    <w:rsid w:val="2E6672CB"/>
    <w:rsid w:val="2E746177"/>
    <w:rsid w:val="2E7A48DE"/>
    <w:rsid w:val="2E7B3D22"/>
    <w:rsid w:val="2E9F6B35"/>
    <w:rsid w:val="2EDC3ED8"/>
    <w:rsid w:val="2EDE218F"/>
    <w:rsid w:val="2EEE0998"/>
    <w:rsid w:val="2F1E5110"/>
    <w:rsid w:val="2F2D046C"/>
    <w:rsid w:val="2F2D1965"/>
    <w:rsid w:val="2F416D1A"/>
    <w:rsid w:val="2F6351B4"/>
    <w:rsid w:val="2F6D2A2C"/>
    <w:rsid w:val="2F6F1AD9"/>
    <w:rsid w:val="2F7F17DA"/>
    <w:rsid w:val="2FA15A0A"/>
    <w:rsid w:val="2FA86D99"/>
    <w:rsid w:val="2FCC075E"/>
    <w:rsid w:val="2FCF199E"/>
    <w:rsid w:val="2FDE0A0C"/>
    <w:rsid w:val="30297EDA"/>
    <w:rsid w:val="3038636F"/>
    <w:rsid w:val="30483E83"/>
    <w:rsid w:val="306413A4"/>
    <w:rsid w:val="30654C8A"/>
    <w:rsid w:val="306C6018"/>
    <w:rsid w:val="307F7AFA"/>
    <w:rsid w:val="309061AB"/>
    <w:rsid w:val="30AA0E97"/>
    <w:rsid w:val="30D062B7"/>
    <w:rsid w:val="30D2231F"/>
    <w:rsid w:val="30D23D1C"/>
    <w:rsid w:val="30F33B8C"/>
    <w:rsid w:val="31316B5F"/>
    <w:rsid w:val="313308E4"/>
    <w:rsid w:val="313703D4"/>
    <w:rsid w:val="31744EBD"/>
    <w:rsid w:val="31A041CB"/>
    <w:rsid w:val="31F462C5"/>
    <w:rsid w:val="323E39E4"/>
    <w:rsid w:val="324059AE"/>
    <w:rsid w:val="32987CFE"/>
    <w:rsid w:val="32AC7216"/>
    <w:rsid w:val="32CC4FC0"/>
    <w:rsid w:val="32EB76C8"/>
    <w:rsid w:val="32EE540A"/>
    <w:rsid w:val="32F83B93"/>
    <w:rsid w:val="334212B2"/>
    <w:rsid w:val="334E4CD8"/>
    <w:rsid w:val="339064C2"/>
    <w:rsid w:val="33A33120"/>
    <w:rsid w:val="33A930DF"/>
    <w:rsid w:val="33C70135"/>
    <w:rsid w:val="33C85C5B"/>
    <w:rsid w:val="33D90F42"/>
    <w:rsid w:val="33E04D53"/>
    <w:rsid w:val="33E82F8C"/>
    <w:rsid w:val="34052AF2"/>
    <w:rsid w:val="343C0775"/>
    <w:rsid w:val="34586FDF"/>
    <w:rsid w:val="346A0AC1"/>
    <w:rsid w:val="347C3482"/>
    <w:rsid w:val="348222AE"/>
    <w:rsid w:val="348A1163"/>
    <w:rsid w:val="348A7F93"/>
    <w:rsid w:val="34AA76A9"/>
    <w:rsid w:val="34DD7824"/>
    <w:rsid w:val="35494B7A"/>
    <w:rsid w:val="355F439E"/>
    <w:rsid w:val="355F614C"/>
    <w:rsid w:val="356C50EC"/>
    <w:rsid w:val="3576787D"/>
    <w:rsid w:val="359B598C"/>
    <w:rsid w:val="35A85D44"/>
    <w:rsid w:val="35B50461"/>
    <w:rsid w:val="35C33107"/>
    <w:rsid w:val="35C3447A"/>
    <w:rsid w:val="35D52DD5"/>
    <w:rsid w:val="35F47C43"/>
    <w:rsid w:val="360C16FF"/>
    <w:rsid w:val="361108CD"/>
    <w:rsid w:val="3627310D"/>
    <w:rsid w:val="362D7FF8"/>
    <w:rsid w:val="36315BB8"/>
    <w:rsid w:val="363C023B"/>
    <w:rsid w:val="364F7F6E"/>
    <w:rsid w:val="36597B1C"/>
    <w:rsid w:val="367B6FB5"/>
    <w:rsid w:val="369D517D"/>
    <w:rsid w:val="36A302BA"/>
    <w:rsid w:val="36A71B58"/>
    <w:rsid w:val="36D3294D"/>
    <w:rsid w:val="36EE3C2B"/>
    <w:rsid w:val="3700166C"/>
    <w:rsid w:val="3709636F"/>
    <w:rsid w:val="3727617F"/>
    <w:rsid w:val="374B2E2B"/>
    <w:rsid w:val="375969FE"/>
    <w:rsid w:val="378B2AA5"/>
    <w:rsid w:val="37BD6269"/>
    <w:rsid w:val="37F012DD"/>
    <w:rsid w:val="380B6117"/>
    <w:rsid w:val="38172D0E"/>
    <w:rsid w:val="3848673B"/>
    <w:rsid w:val="384A6C3F"/>
    <w:rsid w:val="38694EE9"/>
    <w:rsid w:val="38840FBC"/>
    <w:rsid w:val="38EA0422"/>
    <w:rsid w:val="38EF3C8A"/>
    <w:rsid w:val="38EF5091"/>
    <w:rsid w:val="38F17A02"/>
    <w:rsid w:val="391C51E3"/>
    <w:rsid w:val="39273424"/>
    <w:rsid w:val="39893CD5"/>
    <w:rsid w:val="399A1E48"/>
    <w:rsid w:val="399F745E"/>
    <w:rsid w:val="39A50CB5"/>
    <w:rsid w:val="39A53B63"/>
    <w:rsid w:val="39E135D3"/>
    <w:rsid w:val="39E15381"/>
    <w:rsid w:val="3A0200DB"/>
    <w:rsid w:val="3A281202"/>
    <w:rsid w:val="3A4B3142"/>
    <w:rsid w:val="3AA840F1"/>
    <w:rsid w:val="3AAD40CF"/>
    <w:rsid w:val="3AC21656"/>
    <w:rsid w:val="3ACD1DA9"/>
    <w:rsid w:val="3AFD443D"/>
    <w:rsid w:val="3B043A1D"/>
    <w:rsid w:val="3B2A146C"/>
    <w:rsid w:val="3B2E2927"/>
    <w:rsid w:val="3B365CC9"/>
    <w:rsid w:val="3B3836C7"/>
    <w:rsid w:val="3B553427"/>
    <w:rsid w:val="3B75549C"/>
    <w:rsid w:val="3B7D732B"/>
    <w:rsid w:val="3B9A7B88"/>
    <w:rsid w:val="3B9F3746"/>
    <w:rsid w:val="3BA00942"/>
    <w:rsid w:val="3BA46D27"/>
    <w:rsid w:val="3BBC60A6"/>
    <w:rsid w:val="3BC114FF"/>
    <w:rsid w:val="3C23796D"/>
    <w:rsid w:val="3C2660C6"/>
    <w:rsid w:val="3C291808"/>
    <w:rsid w:val="3C36624F"/>
    <w:rsid w:val="3C3C71E7"/>
    <w:rsid w:val="3C8666B4"/>
    <w:rsid w:val="3CB63F34"/>
    <w:rsid w:val="3CE358B4"/>
    <w:rsid w:val="3CFB0E50"/>
    <w:rsid w:val="3CFB49AC"/>
    <w:rsid w:val="3D2C7AC8"/>
    <w:rsid w:val="3D2F4655"/>
    <w:rsid w:val="3D421EF3"/>
    <w:rsid w:val="3D65751E"/>
    <w:rsid w:val="3D673DEF"/>
    <w:rsid w:val="3D855D12"/>
    <w:rsid w:val="3D8B42FF"/>
    <w:rsid w:val="3D8C02DD"/>
    <w:rsid w:val="3D8C7CFA"/>
    <w:rsid w:val="3D995F73"/>
    <w:rsid w:val="3DA23079"/>
    <w:rsid w:val="3DBFD775"/>
    <w:rsid w:val="3DC20089"/>
    <w:rsid w:val="3DF36A6E"/>
    <w:rsid w:val="3E0E4BB3"/>
    <w:rsid w:val="3E241CE0"/>
    <w:rsid w:val="3E265A58"/>
    <w:rsid w:val="3E527BF2"/>
    <w:rsid w:val="3E686071"/>
    <w:rsid w:val="3E740EF4"/>
    <w:rsid w:val="3E8310FD"/>
    <w:rsid w:val="3E8F1850"/>
    <w:rsid w:val="3EA514AE"/>
    <w:rsid w:val="3ECF60F0"/>
    <w:rsid w:val="3EEA117C"/>
    <w:rsid w:val="3F1138E1"/>
    <w:rsid w:val="3F2857F6"/>
    <w:rsid w:val="3F340649"/>
    <w:rsid w:val="3F43263A"/>
    <w:rsid w:val="3F696545"/>
    <w:rsid w:val="3F792F1E"/>
    <w:rsid w:val="3F87756C"/>
    <w:rsid w:val="3F8A64BB"/>
    <w:rsid w:val="3FDA2F9E"/>
    <w:rsid w:val="3FE457B1"/>
    <w:rsid w:val="3FF773E5"/>
    <w:rsid w:val="3FFF62C2"/>
    <w:rsid w:val="400C109C"/>
    <w:rsid w:val="40824826"/>
    <w:rsid w:val="40AA0DC9"/>
    <w:rsid w:val="40E63923"/>
    <w:rsid w:val="4134048C"/>
    <w:rsid w:val="413E7728"/>
    <w:rsid w:val="418453B6"/>
    <w:rsid w:val="418E698F"/>
    <w:rsid w:val="41BA06F1"/>
    <w:rsid w:val="41CF4659"/>
    <w:rsid w:val="41D72A2F"/>
    <w:rsid w:val="41DB2FFE"/>
    <w:rsid w:val="41E41EB2"/>
    <w:rsid w:val="41E55C2A"/>
    <w:rsid w:val="41FA6E41"/>
    <w:rsid w:val="420A743F"/>
    <w:rsid w:val="420E0E2C"/>
    <w:rsid w:val="42134546"/>
    <w:rsid w:val="4286740D"/>
    <w:rsid w:val="42912F09"/>
    <w:rsid w:val="42A57C35"/>
    <w:rsid w:val="42A653BA"/>
    <w:rsid w:val="42AE0712"/>
    <w:rsid w:val="42B443F4"/>
    <w:rsid w:val="42F43FD4"/>
    <w:rsid w:val="430D7533"/>
    <w:rsid w:val="431E7646"/>
    <w:rsid w:val="43A91E5B"/>
    <w:rsid w:val="441F73E2"/>
    <w:rsid w:val="44323612"/>
    <w:rsid w:val="449C4CC6"/>
    <w:rsid w:val="44AD0E78"/>
    <w:rsid w:val="44B02520"/>
    <w:rsid w:val="44BC3308"/>
    <w:rsid w:val="44DC50C3"/>
    <w:rsid w:val="44E93C84"/>
    <w:rsid w:val="44FE144E"/>
    <w:rsid w:val="45184A87"/>
    <w:rsid w:val="451C5E07"/>
    <w:rsid w:val="45774657"/>
    <w:rsid w:val="45846B1D"/>
    <w:rsid w:val="458539AC"/>
    <w:rsid w:val="45922DB9"/>
    <w:rsid w:val="45953499"/>
    <w:rsid w:val="45A71B75"/>
    <w:rsid w:val="45BA48DB"/>
    <w:rsid w:val="45CF59D7"/>
    <w:rsid w:val="45D03E6F"/>
    <w:rsid w:val="45E5269D"/>
    <w:rsid w:val="45FC3543"/>
    <w:rsid w:val="460E39A2"/>
    <w:rsid w:val="462C207A"/>
    <w:rsid w:val="463A3650"/>
    <w:rsid w:val="465E22DD"/>
    <w:rsid w:val="46616D80"/>
    <w:rsid w:val="46647A66"/>
    <w:rsid w:val="469F0116"/>
    <w:rsid w:val="46E91D19"/>
    <w:rsid w:val="47087750"/>
    <w:rsid w:val="47305B9A"/>
    <w:rsid w:val="47486A40"/>
    <w:rsid w:val="475259B7"/>
    <w:rsid w:val="47525B10"/>
    <w:rsid w:val="475B3CBC"/>
    <w:rsid w:val="478F466E"/>
    <w:rsid w:val="47962993"/>
    <w:rsid w:val="47AF2F63"/>
    <w:rsid w:val="47C84024"/>
    <w:rsid w:val="47D324F0"/>
    <w:rsid w:val="47DB123A"/>
    <w:rsid w:val="48174664"/>
    <w:rsid w:val="481C49B1"/>
    <w:rsid w:val="482B3692"/>
    <w:rsid w:val="482E1898"/>
    <w:rsid w:val="484D176C"/>
    <w:rsid w:val="4860425D"/>
    <w:rsid w:val="48831CF9"/>
    <w:rsid w:val="48A4090C"/>
    <w:rsid w:val="48AC2FFE"/>
    <w:rsid w:val="48B14AB8"/>
    <w:rsid w:val="48C14CB2"/>
    <w:rsid w:val="49177011"/>
    <w:rsid w:val="491A6083"/>
    <w:rsid w:val="49296D45"/>
    <w:rsid w:val="49331BA1"/>
    <w:rsid w:val="49400ABE"/>
    <w:rsid w:val="497F0713"/>
    <w:rsid w:val="498A4C1F"/>
    <w:rsid w:val="498E6BA8"/>
    <w:rsid w:val="49A165B8"/>
    <w:rsid w:val="49B1408D"/>
    <w:rsid w:val="49BF6D61"/>
    <w:rsid w:val="49C511B8"/>
    <w:rsid w:val="49E61842"/>
    <w:rsid w:val="49EA2030"/>
    <w:rsid w:val="49F27137"/>
    <w:rsid w:val="4A2C2648"/>
    <w:rsid w:val="4A3E237C"/>
    <w:rsid w:val="4A7D4FD2"/>
    <w:rsid w:val="4A913C9A"/>
    <w:rsid w:val="4A995804"/>
    <w:rsid w:val="4AE22D2F"/>
    <w:rsid w:val="4B11183E"/>
    <w:rsid w:val="4B1F70AC"/>
    <w:rsid w:val="4B240F94"/>
    <w:rsid w:val="4B386AE5"/>
    <w:rsid w:val="4B3A0D95"/>
    <w:rsid w:val="4B3A6FE7"/>
    <w:rsid w:val="4B550CFB"/>
    <w:rsid w:val="4B7324F9"/>
    <w:rsid w:val="4B8D4055"/>
    <w:rsid w:val="4BA75287"/>
    <w:rsid w:val="4BAC5B11"/>
    <w:rsid w:val="4BE030B0"/>
    <w:rsid w:val="4BE170EC"/>
    <w:rsid w:val="4BED70D6"/>
    <w:rsid w:val="4BF06E35"/>
    <w:rsid w:val="4C0D0258"/>
    <w:rsid w:val="4C213D03"/>
    <w:rsid w:val="4C3C565C"/>
    <w:rsid w:val="4C43618A"/>
    <w:rsid w:val="4C5175FB"/>
    <w:rsid w:val="4C6C1422"/>
    <w:rsid w:val="4C800A2A"/>
    <w:rsid w:val="4CC21042"/>
    <w:rsid w:val="4CCC79C7"/>
    <w:rsid w:val="4CD07C03"/>
    <w:rsid w:val="4CE76CFB"/>
    <w:rsid w:val="4D6C5E8D"/>
    <w:rsid w:val="4D6F3DD5"/>
    <w:rsid w:val="4D73233C"/>
    <w:rsid w:val="4D73771A"/>
    <w:rsid w:val="4D7555C7"/>
    <w:rsid w:val="4D7A36CB"/>
    <w:rsid w:val="4DA62712"/>
    <w:rsid w:val="4DB017E2"/>
    <w:rsid w:val="4DB246CD"/>
    <w:rsid w:val="4DCD4142"/>
    <w:rsid w:val="4DEA4CF4"/>
    <w:rsid w:val="4E031912"/>
    <w:rsid w:val="4E0F475B"/>
    <w:rsid w:val="4E272122"/>
    <w:rsid w:val="4E605017"/>
    <w:rsid w:val="4E7A713E"/>
    <w:rsid w:val="4E8C5DAC"/>
    <w:rsid w:val="4E8D54F0"/>
    <w:rsid w:val="4E962786"/>
    <w:rsid w:val="4EAE6DA0"/>
    <w:rsid w:val="4EB175C0"/>
    <w:rsid w:val="4EC512BE"/>
    <w:rsid w:val="4EC92B5C"/>
    <w:rsid w:val="4EE70888"/>
    <w:rsid w:val="4F015432"/>
    <w:rsid w:val="4F391364"/>
    <w:rsid w:val="4F563CC4"/>
    <w:rsid w:val="4F5A7C58"/>
    <w:rsid w:val="4F6F4D85"/>
    <w:rsid w:val="4F8545A9"/>
    <w:rsid w:val="4F950C90"/>
    <w:rsid w:val="4FBB0051"/>
    <w:rsid w:val="4FD037EF"/>
    <w:rsid w:val="50091D29"/>
    <w:rsid w:val="50131E29"/>
    <w:rsid w:val="5016514B"/>
    <w:rsid w:val="502857C7"/>
    <w:rsid w:val="502D14F4"/>
    <w:rsid w:val="50476D3D"/>
    <w:rsid w:val="505446A7"/>
    <w:rsid w:val="50792360"/>
    <w:rsid w:val="508C7456"/>
    <w:rsid w:val="50C64E79"/>
    <w:rsid w:val="50E21CB3"/>
    <w:rsid w:val="50F43794"/>
    <w:rsid w:val="510F6820"/>
    <w:rsid w:val="511659A4"/>
    <w:rsid w:val="514B3CFC"/>
    <w:rsid w:val="514F62E4"/>
    <w:rsid w:val="5187285A"/>
    <w:rsid w:val="51AB5ACE"/>
    <w:rsid w:val="51B578E5"/>
    <w:rsid w:val="51CA7013"/>
    <w:rsid w:val="51CB1C78"/>
    <w:rsid w:val="51EB4B97"/>
    <w:rsid w:val="51F512C1"/>
    <w:rsid w:val="51FD6A51"/>
    <w:rsid w:val="521C62A2"/>
    <w:rsid w:val="521F52CC"/>
    <w:rsid w:val="523C3645"/>
    <w:rsid w:val="524B763E"/>
    <w:rsid w:val="526B680A"/>
    <w:rsid w:val="527F3531"/>
    <w:rsid w:val="528174BF"/>
    <w:rsid w:val="52A86F2C"/>
    <w:rsid w:val="52B05486"/>
    <w:rsid w:val="52CA2BBE"/>
    <w:rsid w:val="52CF44B9"/>
    <w:rsid w:val="52F12681"/>
    <w:rsid w:val="530C1269"/>
    <w:rsid w:val="53150D15"/>
    <w:rsid w:val="53234805"/>
    <w:rsid w:val="53295123"/>
    <w:rsid w:val="532E5683"/>
    <w:rsid w:val="53426A39"/>
    <w:rsid w:val="534722A1"/>
    <w:rsid w:val="5352083E"/>
    <w:rsid w:val="53762B86"/>
    <w:rsid w:val="53B813F1"/>
    <w:rsid w:val="53BA6F17"/>
    <w:rsid w:val="53C47D96"/>
    <w:rsid w:val="53CB60CB"/>
    <w:rsid w:val="53D66C6D"/>
    <w:rsid w:val="53F05F28"/>
    <w:rsid w:val="541A5D30"/>
    <w:rsid w:val="54273E81"/>
    <w:rsid w:val="542E7CA1"/>
    <w:rsid w:val="54686973"/>
    <w:rsid w:val="5492579E"/>
    <w:rsid w:val="54AD082A"/>
    <w:rsid w:val="54FE754D"/>
    <w:rsid w:val="551A48EF"/>
    <w:rsid w:val="553E632F"/>
    <w:rsid w:val="55D32512"/>
    <w:rsid w:val="55DB4F23"/>
    <w:rsid w:val="55E02539"/>
    <w:rsid w:val="55EF09CE"/>
    <w:rsid w:val="55F068CD"/>
    <w:rsid w:val="56020701"/>
    <w:rsid w:val="5621327D"/>
    <w:rsid w:val="564260C6"/>
    <w:rsid w:val="56521D3A"/>
    <w:rsid w:val="566C3136"/>
    <w:rsid w:val="568D04F2"/>
    <w:rsid w:val="569972B8"/>
    <w:rsid w:val="56B23ED5"/>
    <w:rsid w:val="56D06A51"/>
    <w:rsid w:val="56DF6C95"/>
    <w:rsid w:val="56E9366F"/>
    <w:rsid w:val="56F149FE"/>
    <w:rsid w:val="56F73FDE"/>
    <w:rsid w:val="56F95FA8"/>
    <w:rsid w:val="56FC699D"/>
    <w:rsid w:val="57014E5D"/>
    <w:rsid w:val="575C6737"/>
    <w:rsid w:val="57811AFA"/>
    <w:rsid w:val="57B8376D"/>
    <w:rsid w:val="57BA4A2F"/>
    <w:rsid w:val="57C57C38"/>
    <w:rsid w:val="57FD5C08"/>
    <w:rsid w:val="582F100E"/>
    <w:rsid w:val="58382B6A"/>
    <w:rsid w:val="583C0A0B"/>
    <w:rsid w:val="583E1858"/>
    <w:rsid w:val="58555460"/>
    <w:rsid w:val="588D6DD7"/>
    <w:rsid w:val="589046EA"/>
    <w:rsid w:val="58BF6D7E"/>
    <w:rsid w:val="58C223CA"/>
    <w:rsid w:val="58D8399B"/>
    <w:rsid w:val="58DA7713"/>
    <w:rsid w:val="58DC7930"/>
    <w:rsid w:val="58E02CD3"/>
    <w:rsid w:val="58EB36CF"/>
    <w:rsid w:val="591250FF"/>
    <w:rsid w:val="59633BAD"/>
    <w:rsid w:val="5966544B"/>
    <w:rsid w:val="596D4A2C"/>
    <w:rsid w:val="596F4300"/>
    <w:rsid w:val="59971F55"/>
    <w:rsid w:val="59A1303F"/>
    <w:rsid w:val="59BE0DE3"/>
    <w:rsid w:val="59C363FA"/>
    <w:rsid w:val="59D0530A"/>
    <w:rsid w:val="59DF66A0"/>
    <w:rsid w:val="59E545C2"/>
    <w:rsid w:val="59F82F8B"/>
    <w:rsid w:val="59FF38D6"/>
    <w:rsid w:val="5A47527D"/>
    <w:rsid w:val="5A4968FF"/>
    <w:rsid w:val="5A4A2677"/>
    <w:rsid w:val="5A526582"/>
    <w:rsid w:val="5A5F5C77"/>
    <w:rsid w:val="5A761C5E"/>
    <w:rsid w:val="5A7D6D1C"/>
    <w:rsid w:val="5A902780"/>
    <w:rsid w:val="5A92474A"/>
    <w:rsid w:val="5AA601F5"/>
    <w:rsid w:val="5AA63D51"/>
    <w:rsid w:val="5AC10B8B"/>
    <w:rsid w:val="5AE64A95"/>
    <w:rsid w:val="5B1C4013"/>
    <w:rsid w:val="5B524131"/>
    <w:rsid w:val="5BB92529"/>
    <w:rsid w:val="5BBE39CD"/>
    <w:rsid w:val="5BC11A60"/>
    <w:rsid w:val="5BC3554F"/>
    <w:rsid w:val="5C256839"/>
    <w:rsid w:val="5C2F4E74"/>
    <w:rsid w:val="5C2F5FC8"/>
    <w:rsid w:val="5C7A4D54"/>
    <w:rsid w:val="5C8C51C9"/>
    <w:rsid w:val="5C9B365E"/>
    <w:rsid w:val="5CC2508E"/>
    <w:rsid w:val="5CD23B73"/>
    <w:rsid w:val="5D123D88"/>
    <w:rsid w:val="5D144A17"/>
    <w:rsid w:val="5D1458EA"/>
    <w:rsid w:val="5D487342"/>
    <w:rsid w:val="5D534B16"/>
    <w:rsid w:val="5D5F468B"/>
    <w:rsid w:val="5D6B74D4"/>
    <w:rsid w:val="5D883BE2"/>
    <w:rsid w:val="5DA16738"/>
    <w:rsid w:val="5DA84284"/>
    <w:rsid w:val="5DD017B6"/>
    <w:rsid w:val="5DE27796"/>
    <w:rsid w:val="5DFF5EB1"/>
    <w:rsid w:val="5E066B06"/>
    <w:rsid w:val="5E14191A"/>
    <w:rsid w:val="5E365AB0"/>
    <w:rsid w:val="5E371164"/>
    <w:rsid w:val="5E4C10B3"/>
    <w:rsid w:val="5E723A11"/>
    <w:rsid w:val="5EDE292E"/>
    <w:rsid w:val="5EF158F1"/>
    <w:rsid w:val="5F1147E1"/>
    <w:rsid w:val="5F127819"/>
    <w:rsid w:val="5F155949"/>
    <w:rsid w:val="5F1C0A86"/>
    <w:rsid w:val="5F1D0764"/>
    <w:rsid w:val="5F513B82"/>
    <w:rsid w:val="5F610B8F"/>
    <w:rsid w:val="5F63752A"/>
    <w:rsid w:val="5F6D308F"/>
    <w:rsid w:val="5FA568C3"/>
    <w:rsid w:val="5FAF1912"/>
    <w:rsid w:val="5FB40CBE"/>
    <w:rsid w:val="5FC2727A"/>
    <w:rsid w:val="5FDF3EB5"/>
    <w:rsid w:val="5FFA4C35"/>
    <w:rsid w:val="600734E4"/>
    <w:rsid w:val="600A4D82"/>
    <w:rsid w:val="6037369D"/>
    <w:rsid w:val="60695F4D"/>
    <w:rsid w:val="606B45BC"/>
    <w:rsid w:val="608C0D72"/>
    <w:rsid w:val="60C969EB"/>
    <w:rsid w:val="60F1503F"/>
    <w:rsid w:val="60FF41BB"/>
    <w:rsid w:val="61025188"/>
    <w:rsid w:val="61057D5F"/>
    <w:rsid w:val="614D4977"/>
    <w:rsid w:val="61502C69"/>
    <w:rsid w:val="61930DA7"/>
    <w:rsid w:val="619F14FA"/>
    <w:rsid w:val="619F599E"/>
    <w:rsid w:val="61AC35B7"/>
    <w:rsid w:val="61C34DD1"/>
    <w:rsid w:val="627D7A8D"/>
    <w:rsid w:val="62F148E7"/>
    <w:rsid w:val="62F53AC8"/>
    <w:rsid w:val="630006BE"/>
    <w:rsid w:val="63133F4E"/>
    <w:rsid w:val="639A466F"/>
    <w:rsid w:val="63A51F96"/>
    <w:rsid w:val="63A96660"/>
    <w:rsid w:val="63C60FC0"/>
    <w:rsid w:val="63D01E3F"/>
    <w:rsid w:val="641A2BDD"/>
    <w:rsid w:val="644C3BBB"/>
    <w:rsid w:val="64525EBD"/>
    <w:rsid w:val="64652537"/>
    <w:rsid w:val="649317EA"/>
    <w:rsid w:val="64BA3D7A"/>
    <w:rsid w:val="64D97970"/>
    <w:rsid w:val="64E831B8"/>
    <w:rsid w:val="64F0231B"/>
    <w:rsid w:val="64F179BC"/>
    <w:rsid w:val="650A75D2"/>
    <w:rsid w:val="65124738"/>
    <w:rsid w:val="652E01A9"/>
    <w:rsid w:val="654523B9"/>
    <w:rsid w:val="658A01B0"/>
    <w:rsid w:val="658D3F7E"/>
    <w:rsid w:val="65956E9C"/>
    <w:rsid w:val="65A672FB"/>
    <w:rsid w:val="65B37C6A"/>
    <w:rsid w:val="65C94C55"/>
    <w:rsid w:val="65E70F67"/>
    <w:rsid w:val="65FD2C93"/>
    <w:rsid w:val="660D737A"/>
    <w:rsid w:val="661E1587"/>
    <w:rsid w:val="662270C4"/>
    <w:rsid w:val="66236169"/>
    <w:rsid w:val="66383CCB"/>
    <w:rsid w:val="665704D3"/>
    <w:rsid w:val="666D606B"/>
    <w:rsid w:val="669929BC"/>
    <w:rsid w:val="66A7157D"/>
    <w:rsid w:val="66CF767E"/>
    <w:rsid w:val="66F347C2"/>
    <w:rsid w:val="670E33AA"/>
    <w:rsid w:val="670F7122"/>
    <w:rsid w:val="67242BCD"/>
    <w:rsid w:val="672C7CD4"/>
    <w:rsid w:val="673148E2"/>
    <w:rsid w:val="673D77EB"/>
    <w:rsid w:val="675445CD"/>
    <w:rsid w:val="676B737A"/>
    <w:rsid w:val="6773145F"/>
    <w:rsid w:val="678E6299"/>
    <w:rsid w:val="679C6C08"/>
    <w:rsid w:val="67AA29A7"/>
    <w:rsid w:val="67BF6452"/>
    <w:rsid w:val="67C065A4"/>
    <w:rsid w:val="67CE2B39"/>
    <w:rsid w:val="67D359C9"/>
    <w:rsid w:val="67DD0FCE"/>
    <w:rsid w:val="67EE31DB"/>
    <w:rsid w:val="67F72A2B"/>
    <w:rsid w:val="680B5B3B"/>
    <w:rsid w:val="680E1188"/>
    <w:rsid w:val="68295FC1"/>
    <w:rsid w:val="684B7025"/>
    <w:rsid w:val="685E210F"/>
    <w:rsid w:val="687E00BB"/>
    <w:rsid w:val="68A45648"/>
    <w:rsid w:val="68C44A33"/>
    <w:rsid w:val="68F20AA9"/>
    <w:rsid w:val="68FE36DD"/>
    <w:rsid w:val="69086BC2"/>
    <w:rsid w:val="693B4E73"/>
    <w:rsid w:val="694E60FC"/>
    <w:rsid w:val="69594684"/>
    <w:rsid w:val="696C085C"/>
    <w:rsid w:val="697B284D"/>
    <w:rsid w:val="698F280F"/>
    <w:rsid w:val="69992CD3"/>
    <w:rsid w:val="69A97B3C"/>
    <w:rsid w:val="69DD3507"/>
    <w:rsid w:val="69EF4042"/>
    <w:rsid w:val="6A361E25"/>
    <w:rsid w:val="6A435879"/>
    <w:rsid w:val="6A7774B8"/>
    <w:rsid w:val="6A8676FB"/>
    <w:rsid w:val="6AA3205B"/>
    <w:rsid w:val="6AB76EC4"/>
    <w:rsid w:val="6ABC311D"/>
    <w:rsid w:val="6ABE3E91"/>
    <w:rsid w:val="6ACE2752"/>
    <w:rsid w:val="6AD353A7"/>
    <w:rsid w:val="6AE65B91"/>
    <w:rsid w:val="6B1B4E0E"/>
    <w:rsid w:val="6B531E22"/>
    <w:rsid w:val="6B807501"/>
    <w:rsid w:val="6B947BF6"/>
    <w:rsid w:val="6BA918F3"/>
    <w:rsid w:val="6BBE4C73"/>
    <w:rsid w:val="6BC54253"/>
    <w:rsid w:val="6BDB2C84"/>
    <w:rsid w:val="6BE97F42"/>
    <w:rsid w:val="6BFB1A23"/>
    <w:rsid w:val="6C304B0A"/>
    <w:rsid w:val="6C376EFF"/>
    <w:rsid w:val="6C3A16BF"/>
    <w:rsid w:val="6C410A63"/>
    <w:rsid w:val="6C5F3EC7"/>
    <w:rsid w:val="6C675CE6"/>
    <w:rsid w:val="6C68355C"/>
    <w:rsid w:val="6C88775B"/>
    <w:rsid w:val="6C944351"/>
    <w:rsid w:val="6CAD5413"/>
    <w:rsid w:val="6CB322FE"/>
    <w:rsid w:val="6CEF35AF"/>
    <w:rsid w:val="6CFA4F0F"/>
    <w:rsid w:val="6D4F4321"/>
    <w:rsid w:val="6DB620A5"/>
    <w:rsid w:val="6DBD1686"/>
    <w:rsid w:val="6DD74EF3"/>
    <w:rsid w:val="6DD9424C"/>
    <w:rsid w:val="6DF42BCE"/>
    <w:rsid w:val="6DFF7360"/>
    <w:rsid w:val="6E001573"/>
    <w:rsid w:val="6E0E5A3E"/>
    <w:rsid w:val="6E7855AD"/>
    <w:rsid w:val="6E7A5F73"/>
    <w:rsid w:val="6E840345"/>
    <w:rsid w:val="6E9543B1"/>
    <w:rsid w:val="6EAE5472"/>
    <w:rsid w:val="6EC86534"/>
    <w:rsid w:val="6EDF562C"/>
    <w:rsid w:val="6EE40E94"/>
    <w:rsid w:val="6F122D5A"/>
    <w:rsid w:val="6F2E3798"/>
    <w:rsid w:val="6F327E52"/>
    <w:rsid w:val="6F387368"/>
    <w:rsid w:val="6F467459"/>
    <w:rsid w:val="6F4D6A39"/>
    <w:rsid w:val="6F547DC8"/>
    <w:rsid w:val="6F6259A5"/>
    <w:rsid w:val="6F6B6EC0"/>
    <w:rsid w:val="6F6F162C"/>
    <w:rsid w:val="6F975F07"/>
    <w:rsid w:val="6F9D176F"/>
    <w:rsid w:val="6FC43C76"/>
    <w:rsid w:val="6FD16F77"/>
    <w:rsid w:val="6FD74228"/>
    <w:rsid w:val="7040659E"/>
    <w:rsid w:val="704716DB"/>
    <w:rsid w:val="70761FC0"/>
    <w:rsid w:val="70B623BC"/>
    <w:rsid w:val="70D34D1C"/>
    <w:rsid w:val="70FE5EDF"/>
    <w:rsid w:val="710650F2"/>
    <w:rsid w:val="710D46D2"/>
    <w:rsid w:val="711041C2"/>
    <w:rsid w:val="711E68DF"/>
    <w:rsid w:val="711F61B4"/>
    <w:rsid w:val="712832BA"/>
    <w:rsid w:val="71436346"/>
    <w:rsid w:val="71633091"/>
    <w:rsid w:val="71724535"/>
    <w:rsid w:val="71816E6E"/>
    <w:rsid w:val="719426FE"/>
    <w:rsid w:val="71C72AD3"/>
    <w:rsid w:val="71F55A98"/>
    <w:rsid w:val="72084E9A"/>
    <w:rsid w:val="7242215A"/>
    <w:rsid w:val="725620A9"/>
    <w:rsid w:val="725B321B"/>
    <w:rsid w:val="72734A09"/>
    <w:rsid w:val="727D5888"/>
    <w:rsid w:val="728575CB"/>
    <w:rsid w:val="72AE3C93"/>
    <w:rsid w:val="72B56DCF"/>
    <w:rsid w:val="72DD6326"/>
    <w:rsid w:val="73081CA5"/>
    <w:rsid w:val="73C372CA"/>
    <w:rsid w:val="73D03795"/>
    <w:rsid w:val="73DB2131"/>
    <w:rsid w:val="73EA4857"/>
    <w:rsid w:val="73FD2DE8"/>
    <w:rsid w:val="74152994"/>
    <w:rsid w:val="741B5358"/>
    <w:rsid w:val="742F4960"/>
    <w:rsid w:val="74387CB8"/>
    <w:rsid w:val="74545B7C"/>
    <w:rsid w:val="746FDD49"/>
    <w:rsid w:val="7476433D"/>
    <w:rsid w:val="7487762D"/>
    <w:rsid w:val="749B3DA3"/>
    <w:rsid w:val="749F2380"/>
    <w:rsid w:val="74B80DF9"/>
    <w:rsid w:val="74CD7F2C"/>
    <w:rsid w:val="74F040EF"/>
    <w:rsid w:val="75066682"/>
    <w:rsid w:val="750C1C31"/>
    <w:rsid w:val="75226272"/>
    <w:rsid w:val="75385498"/>
    <w:rsid w:val="75506D74"/>
    <w:rsid w:val="755328D0"/>
    <w:rsid w:val="75596138"/>
    <w:rsid w:val="75815D5E"/>
    <w:rsid w:val="75CB690A"/>
    <w:rsid w:val="75DE488F"/>
    <w:rsid w:val="75ED7F88"/>
    <w:rsid w:val="76064196"/>
    <w:rsid w:val="76326989"/>
    <w:rsid w:val="76481A85"/>
    <w:rsid w:val="765B1A3C"/>
    <w:rsid w:val="768C42EB"/>
    <w:rsid w:val="76970762"/>
    <w:rsid w:val="769962BD"/>
    <w:rsid w:val="76B20D7B"/>
    <w:rsid w:val="76BC207F"/>
    <w:rsid w:val="76EB4904"/>
    <w:rsid w:val="76F87FD3"/>
    <w:rsid w:val="77163BB5"/>
    <w:rsid w:val="7718792D"/>
    <w:rsid w:val="77334767"/>
    <w:rsid w:val="77383B2B"/>
    <w:rsid w:val="773A30D1"/>
    <w:rsid w:val="77512E3F"/>
    <w:rsid w:val="77680A44"/>
    <w:rsid w:val="777378F5"/>
    <w:rsid w:val="777A2D3C"/>
    <w:rsid w:val="77867ED8"/>
    <w:rsid w:val="77C849CE"/>
    <w:rsid w:val="77DC78C2"/>
    <w:rsid w:val="77ED700C"/>
    <w:rsid w:val="78153E6C"/>
    <w:rsid w:val="78242552"/>
    <w:rsid w:val="782F13D2"/>
    <w:rsid w:val="78537BEA"/>
    <w:rsid w:val="78697DBA"/>
    <w:rsid w:val="78AD3EBC"/>
    <w:rsid w:val="78BB4A14"/>
    <w:rsid w:val="78CD4747"/>
    <w:rsid w:val="790420B1"/>
    <w:rsid w:val="79074B81"/>
    <w:rsid w:val="791E4907"/>
    <w:rsid w:val="792C76C0"/>
    <w:rsid w:val="794A5D98"/>
    <w:rsid w:val="794F0939"/>
    <w:rsid w:val="797F1EE5"/>
    <w:rsid w:val="7984574E"/>
    <w:rsid w:val="798968C0"/>
    <w:rsid w:val="798C63B0"/>
    <w:rsid w:val="79AD6A52"/>
    <w:rsid w:val="79AF0FCA"/>
    <w:rsid w:val="79DD09BA"/>
    <w:rsid w:val="79ED32F3"/>
    <w:rsid w:val="79EF2560"/>
    <w:rsid w:val="79F44681"/>
    <w:rsid w:val="7A410F49"/>
    <w:rsid w:val="7A460C55"/>
    <w:rsid w:val="7A666C01"/>
    <w:rsid w:val="7A862B76"/>
    <w:rsid w:val="7ABD0D40"/>
    <w:rsid w:val="7ACA3634"/>
    <w:rsid w:val="7AF406B1"/>
    <w:rsid w:val="7AF9279C"/>
    <w:rsid w:val="7B1623D5"/>
    <w:rsid w:val="7B1A0118"/>
    <w:rsid w:val="7B611F50"/>
    <w:rsid w:val="7B7B97EE"/>
    <w:rsid w:val="7B8053B0"/>
    <w:rsid w:val="7B89704B"/>
    <w:rsid w:val="7B8F3F36"/>
    <w:rsid w:val="7BAB5214"/>
    <w:rsid w:val="7BC6204D"/>
    <w:rsid w:val="7BD06A28"/>
    <w:rsid w:val="7BDA78A7"/>
    <w:rsid w:val="7C072E2B"/>
    <w:rsid w:val="7C10780F"/>
    <w:rsid w:val="7C3757F7"/>
    <w:rsid w:val="7C376AA7"/>
    <w:rsid w:val="7C547659"/>
    <w:rsid w:val="7C5807CC"/>
    <w:rsid w:val="7C605FFE"/>
    <w:rsid w:val="7C61278C"/>
    <w:rsid w:val="7C8F68E3"/>
    <w:rsid w:val="7C955DB7"/>
    <w:rsid w:val="7CA9721E"/>
    <w:rsid w:val="7CB41E15"/>
    <w:rsid w:val="7CC51958"/>
    <w:rsid w:val="7CEC40B6"/>
    <w:rsid w:val="7D0504DD"/>
    <w:rsid w:val="7D1B3CD3"/>
    <w:rsid w:val="7D23702C"/>
    <w:rsid w:val="7D276B1C"/>
    <w:rsid w:val="7D376633"/>
    <w:rsid w:val="7D382AD7"/>
    <w:rsid w:val="7D6A07B6"/>
    <w:rsid w:val="7D9B1A8A"/>
    <w:rsid w:val="7D9F66B2"/>
    <w:rsid w:val="7DB80E2E"/>
    <w:rsid w:val="7DB83C18"/>
    <w:rsid w:val="7DB9389F"/>
    <w:rsid w:val="7DC12ACC"/>
    <w:rsid w:val="7DF6029C"/>
    <w:rsid w:val="7DFD5ACF"/>
    <w:rsid w:val="7E116984"/>
    <w:rsid w:val="7E222935"/>
    <w:rsid w:val="7E2552FF"/>
    <w:rsid w:val="7E2936C3"/>
    <w:rsid w:val="7E2E365C"/>
    <w:rsid w:val="7E34791B"/>
    <w:rsid w:val="7E4E5CE5"/>
    <w:rsid w:val="7E5356EF"/>
    <w:rsid w:val="7E610E09"/>
    <w:rsid w:val="7E6411B9"/>
    <w:rsid w:val="7E7A413F"/>
    <w:rsid w:val="7E7F64E4"/>
    <w:rsid w:val="7EA60899"/>
    <w:rsid w:val="7ECD36F3"/>
    <w:rsid w:val="7F315A30"/>
    <w:rsid w:val="7F8A6847"/>
    <w:rsid w:val="7F9164CE"/>
    <w:rsid w:val="7F9B734D"/>
    <w:rsid w:val="7FBB179D"/>
    <w:rsid w:val="7FBF702E"/>
    <w:rsid w:val="7FDB3BED"/>
    <w:rsid w:val="7FEE2BD7"/>
    <w:rsid w:val="92EB4AE9"/>
    <w:rsid w:val="AEE65C00"/>
    <w:rsid w:val="AFB6F077"/>
    <w:rsid w:val="CDFD0547"/>
    <w:rsid w:val="D7FFFC1E"/>
    <w:rsid w:val="EF7F6113"/>
    <w:rsid w:val="F6BF791C"/>
    <w:rsid w:val="FD6AEC12"/>
    <w:rsid w:val="FF7BF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63"/>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8"/>
    <w:qFormat/>
    <w:uiPriority w:val="0"/>
    <w:pPr>
      <w:keepNext/>
      <w:keepLines/>
      <w:spacing w:before="280" w:after="290" w:line="376" w:lineRule="auto"/>
      <w:outlineLvl w:val="3"/>
    </w:pPr>
    <w:rPr>
      <w:b/>
      <w:bCs/>
      <w:sz w:val="28"/>
      <w:szCs w:val="28"/>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toc 7"/>
    <w:basedOn w:val="1"/>
    <w:next w:val="1"/>
    <w:unhideWhenUsed/>
    <w:qFormat/>
    <w:uiPriority w:val="39"/>
    <w:pPr>
      <w:ind w:left="1260"/>
      <w:jc w:val="left"/>
    </w:pPr>
    <w:rPr>
      <w:sz w:val="18"/>
      <w:szCs w:val="18"/>
    </w:rPr>
  </w:style>
  <w:style w:type="paragraph" w:styleId="8">
    <w:name w:val="annotation text"/>
    <w:basedOn w:val="1"/>
    <w:link w:val="60"/>
    <w:qFormat/>
    <w:uiPriority w:val="0"/>
    <w:pPr>
      <w:jc w:val="left"/>
    </w:pPr>
    <w:rPr>
      <w:rFonts w:ascii="Arial" w:hAnsi="Arial" w:eastAsia="黑体" w:cs="Arial"/>
    </w:rPr>
  </w:style>
  <w:style w:type="paragraph" w:styleId="9">
    <w:name w:val="Body Text"/>
    <w:basedOn w:val="1"/>
    <w:next w:val="6"/>
    <w:qFormat/>
    <w:uiPriority w:val="0"/>
    <w:pPr>
      <w:spacing w:after="120"/>
    </w:pPr>
    <w:rPr>
      <w:rFonts w:ascii="@微软简标宋" w:hAnsi="@微软简标宋" w:eastAsia="@微软简标宋" w:cs="@微软简标宋"/>
      <w:szCs w:val="24"/>
      <w:lang w:val="zh-CN"/>
    </w:rPr>
  </w:style>
  <w:style w:type="paragraph" w:styleId="10">
    <w:name w:val="Body Text Indent"/>
    <w:basedOn w:val="1"/>
    <w:qFormat/>
    <w:uiPriority w:val="0"/>
    <w:pPr>
      <w:spacing w:after="120"/>
      <w:ind w:left="420" w:leftChars="200"/>
    </w:pPr>
    <w:rPr>
      <w:szCs w:val="24"/>
    </w:rPr>
  </w:style>
  <w:style w:type="paragraph" w:styleId="11">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50"/>
    <w:qFormat/>
    <w:uiPriority w:val="99"/>
    <w:rPr>
      <w:rFonts w:ascii="宋体" w:hAnsi="Courier New" w:eastAsiaTheme="minorEastAsia" w:cstheme="minorBidi"/>
      <w:szCs w:val="22"/>
    </w:rPr>
  </w:style>
  <w:style w:type="paragraph" w:styleId="13">
    <w:name w:val="Date"/>
    <w:basedOn w:val="1"/>
    <w:next w:val="1"/>
    <w:link w:val="57"/>
    <w:qFormat/>
    <w:uiPriority w:val="0"/>
    <w:rPr>
      <w:rFonts w:ascii="Arial" w:hAnsi="Arial" w:eastAsia="宋体" w:cs="Arial"/>
      <w:b/>
      <w:sz w:val="28"/>
    </w:rPr>
  </w:style>
  <w:style w:type="paragraph" w:styleId="14">
    <w:name w:val="Body Text Indent 2"/>
    <w:basedOn w:val="1"/>
    <w:next w:val="1"/>
    <w:qFormat/>
    <w:uiPriority w:val="0"/>
    <w:pPr>
      <w:spacing w:after="120" w:line="480" w:lineRule="auto"/>
      <w:ind w:left="420" w:leftChars="200"/>
    </w:pPr>
  </w:style>
  <w:style w:type="paragraph" w:styleId="15">
    <w:name w:val="Balloon Text"/>
    <w:basedOn w:val="1"/>
    <w:link w:val="44"/>
    <w:semiHidden/>
    <w:unhideWhenUsed/>
    <w:qFormat/>
    <w:uiPriority w:val="99"/>
    <w:rPr>
      <w:sz w:val="18"/>
      <w:szCs w:val="18"/>
    </w:rPr>
  </w:style>
  <w:style w:type="paragraph" w:styleId="16">
    <w:name w:val="footer"/>
    <w:basedOn w:val="1"/>
    <w:link w:val="49"/>
    <w:unhideWhenUsed/>
    <w:qFormat/>
    <w:uiPriority w:val="99"/>
    <w:pPr>
      <w:tabs>
        <w:tab w:val="center" w:pos="4153"/>
        <w:tab w:val="right" w:pos="8306"/>
      </w:tabs>
      <w:snapToGrid w:val="0"/>
      <w:jc w:val="left"/>
    </w:pPr>
    <w:rPr>
      <w:sz w:val="18"/>
      <w:szCs w:val="18"/>
    </w:rPr>
  </w:style>
  <w:style w:type="paragraph" w:styleId="17">
    <w:name w:val="envelope return"/>
    <w:basedOn w:val="1"/>
    <w:next w:val="7"/>
    <w:qFormat/>
    <w:uiPriority w:val="0"/>
    <w:pPr>
      <w:snapToGrid w:val="0"/>
    </w:pPr>
    <w:rPr>
      <w:rFonts w:ascii="Arial" w:hAnsi="Arial"/>
    </w:rPr>
  </w:style>
  <w:style w:type="paragraph" w:styleId="18">
    <w:name w:val="header"/>
    <w:basedOn w:val="1"/>
    <w:link w:val="4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qFormat/>
    <w:uiPriority w:val="0"/>
    <w:pPr>
      <w:spacing w:before="100" w:beforeAutospacing="1" w:after="100" w:afterAutospacing="1"/>
      <w:jc w:val="left"/>
    </w:pPr>
    <w:rPr>
      <w:rFonts w:cs="Times New Roman"/>
      <w:kern w:val="0"/>
      <w:sz w:val="24"/>
    </w:rPr>
  </w:style>
  <w:style w:type="paragraph" w:styleId="23">
    <w:name w:val="index 1"/>
    <w:basedOn w:val="1"/>
    <w:next w:val="1"/>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8"/>
    <w:next w:val="8"/>
    <w:link w:val="71"/>
    <w:semiHidden/>
    <w:unhideWhenUsed/>
    <w:qFormat/>
    <w:uiPriority w:val="99"/>
    <w:rPr>
      <w:rFonts w:ascii="@仿宋_GB2312" w:hAnsi="@仿宋_GB2312" w:eastAsia="@仿宋_GB2312" w:cs="@仿宋_GB2312"/>
      <w:b/>
      <w:bCs/>
    </w:rPr>
  </w:style>
  <w:style w:type="paragraph" w:styleId="26">
    <w:name w:val="Body Text First Indent"/>
    <w:basedOn w:val="9"/>
    <w:unhideWhenUsed/>
    <w:qFormat/>
    <w:uiPriority w:val="99"/>
    <w:pPr>
      <w:ind w:firstLine="420" w:firstLineChars="100"/>
    </w:pPr>
  </w:style>
  <w:style w:type="paragraph" w:styleId="27">
    <w:name w:val="Body Text First Indent 2"/>
    <w:basedOn w:val="10"/>
    <w:qFormat/>
    <w:uiPriority w:val="0"/>
    <w:pPr>
      <w:ind w:firstLine="420" w:firstLineChars="200"/>
    </w:pPr>
    <w:rPr>
      <w:rFonts w:ascii="Times New Roman" w:hAnsi="Times New Roman" w:cs="Times New Roman"/>
      <w:szCs w:val="21"/>
    </w:rPr>
  </w:style>
  <w:style w:type="table" w:styleId="29">
    <w:name w:val="Table Grid"/>
    <w:basedOn w:val="2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2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字符"/>
    <w:basedOn w:val="30"/>
    <w:link w:val="15"/>
    <w:semiHidden/>
    <w:qFormat/>
    <w:uiPriority w:val="99"/>
    <w:rPr>
      <w:rFonts w:ascii="@仿宋_GB2312" w:hAnsi="@仿宋_GB2312" w:eastAsia="@仿宋_GB2312" w:cs="@仿宋_GB2312"/>
      <w:sz w:val="18"/>
      <w:szCs w:val="18"/>
    </w:rPr>
  </w:style>
  <w:style w:type="paragraph" w:customStyle="1" w:styleId="45">
    <w:name w:val="正文（缩进）"/>
    <w:basedOn w:val="1"/>
    <w:qFormat/>
    <w:uiPriority w:val="0"/>
    <w:pPr>
      <w:widowControl/>
      <w:spacing w:before="156" w:after="156"/>
      <w:ind w:firstLine="480" w:firstLineChars="200"/>
      <w:jc w:val="left"/>
    </w:pPr>
    <w:rPr>
      <w:kern w:val="0"/>
      <w:sz w:val="24"/>
      <w:szCs w:val="24"/>
    </w:rPr>
  </w:style>
  <w:style w:type="paragraph" w:customStyle="1" w:styleId="46">
    <w:name w:val="xl31"/>
    <w:basedOn w:val="1"/>
    <w:qFormat/>
    <w:uiPriority w:val="0"/>
    <w:pPr>
      <w:widowControl/>
      <w:spacing w:before="100" w:beforeAutospacing="1" w:after="100" w:afterAutospacing="1"/>
      <w:jc w:val="center"/>
    </w:pPr>
    <w:rPr>
      <w:b/>
      <w:bCs/>
      <w:kern w:val="0"/>
      <w:sz w:val="28"/>
      <w:szCs w:val="28"/>
    </w:rPr>
  </w:style>
  <w:style w:type="paragraph" w:customStyle="1" w:styleId="47">
    <w:name w:val="D&amp;L"/>
    <w:basedOn w:val="18"/>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字符"/>
    <w:basedOn w:val="30"/>
    <w:link w:val="18"/>
    <w:qFormat/>
    <w:uiPriority w:val="99"/>
    <w:rPr>
      <w:rFonts w:ascii="@仿宋_GB2312" w:hAnsi="@仿宋_GB2312" w:eastAsia="@仿宋_GB2312" w:cs="@仿宋_GB2312"/>
      <w:sz w:val="18"/>
      <w:szCs w:val="18"/>
    </w:rPr>
  </w:style>
  <w:style w:type="character" w:customStyle="1" w:styleId="49">
    <w:name w:val="页脚 字符"/>
    <w:basedOn w:val="30"/>
    <w:link w:val="16"/>
    <w:qFormat/>
    <w:uiPriority w:val="99"/>
    <w:rPr>
      <w:rFonts w:ascii="@仿宋_GB2312" w:hAnsi="@仿宋_GB2312" w:eastAsia="@仿宋_GB2312" w:cs="@仿宋_GB2312"/>
      <w:sz w:val="18"/>
      <w:szCs w:val="18"/>
    </w:rPr>
  </w:style>
  <w:style w:type="character" w:customStyle="1" w:styleId="50">
    <w:name w:val="纯文本 字符"/>
    <w:link w:val="12"/>
    <w:qFormat/>
    <w:uiPriority w:val="0"/>
    <w:rPr>
      <w:rFonts w:ascii="宋体" w:hAnsi="Courier New"/>
    </w:rPr>
  </w:style>
  <w:style w:type="character" w:customStyle="1" w:styleId="51">
    <w:name w:val="纯文本 字符1"/>
    <w:basedOn w:val="30"/>
    <w:semiHidden/>
    <w:qFormat/>
    <w:uiPriority w:val="99"/>
    <w:rPr>
      <w:rFonts w:hAnsi="Courier New" w:cs="Courier New" w:asciiTheme="minorEastAsia"/>
      <w:szCs w:val="20"/>
    </w:rPr>
  </w:style>
  <w:style w:type="character" w:customStyle="1" w:styleId="52">
    <w:name w:val="未处理的提及1"/>
    <w:basedOn w:val="30"/>
    <w:semiHidden/>
    <w:unhideWhenUsed/>
    <w:qFormat/>
    <w:uiPriority w:val="99"/>
    <w:rPr>
      <w:color w:val="605E5C"/>
      <w:shd w:val="clear" w:color="auto" w:fill="E1DFDD"/>
    </w:rPr>
  </w:style>
  <w:style w:type="paragraph" w:styleId="53">
    <w:name w:val="List Paragraph"/>
    <w:basedOn w:val="1"/>
    <w:next w:val="1"/>
    <w:qFormat/>
    <w:uiPriority w:val="34"/>
    <w:pPr>
      <w:ind w:firstLine="420" w:firstLineChars="200"/>
    </w:pPr>
  </w:style>
  <w:style w:type="paragraph" w:customStyle="1" w:styleId="54">
    <w:name w:val="Char Char Char Char Char Char Char1 Char"/>
    <w:basedOn w:val="1"/>
    <w:qFormat/>
    <w:uiPriority w:val="0"/>
    <w:rPr>
      <w:rFonts w:ascii="Arial" w:hAnsi="Arial" w:eastAsia="宋体" w:cs="Arial"/>
      <w:sz w:val="24"/>
    </w:rPr>
  </w:style>
  <w:style w:type="table" w:customStyle="1" w:styleId="55">
    <w:name w:val="网格表 1 浅色1"/>
    <w:basedOn w:val="2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semiHidden/>
    <w:qFormat/>
    <w:uiPriority w:val="99"/>
    <w:rPr>
      <w:rFonts w:ascii="@仿宋_GB2312" w:hAnsi="@仿宋_GB2312" w:eastAsia="@仿宋_GB2312" w:cs="@仿宋_GB2312"/>
      <w:szCs w:val="20"/>
    </w:rPr>
  </w:style>
  <w:style w:type="character" w:customStyle="1" w:styleId="57">
    <w:name w:val="日期 字符1"/>
    <w:link w:val="13"/>
    <w:qFormat/>
    <w:uiPriority w:val="0"/>
    <w:rPr>
      <w:rFonts w:ascii="Arial" w:hAnsi="Arial" w:eastAsia="宋体" w:cs="Arial"/>
      <w:b/>
      <w:sz w:val="28"/>
      <w:szCs w:val="20"/>
    </w:rPr>
  </w:style>
  <w:style w:type="character" w:customStyle="1" w:styleId="58">
    <w:name w:val="纯文本 Char1"/>
    <w:qFormat/>
    <w:locked/>
    <w:uiPriority w:val="99"/>
    <w:rPr>
      <w:rFonts w:ascii="Arial" w:hAnsi="Arial" w:eastAsia="Arial"/>
      <w:kern w:val="2"/>
      <w:sz w:val="21"/>
      <w:lang w:val="en-US" w:eastAsia="zh-CN" w:bidi="ar-SA"/>
    </w:rPr>
  </w:style>
  <w:style w:type="character" w:customStyle="1" w:styleId="59">
    <w:name w:val="批注文字 Char"/>
    <w:basedOn w:val="30"/>
    <w:semiHidden/>
    <w:qFormat/>
    <w:uiPriority w:val="99"/>
    <w:rPr>
      <w:rFonts w:ascii="@仿宋_GB2312" w:hAnsi="@仿宋_GB2312" w:eastAsia="@仿宋_GB2312" w:cs="@仿宋_GB2312"/>
      <w:szCs w:val="20"/>
    </w:rPr>
  </w:style>
  <w:style w:type="character" w:customStyle="1" w:styleId="60">
    <w:name w:val="批注文字 字符"/>
    <w:link w:val="8"/>
    <w:qFormat/>
    <w:uiPriority w:val="0"/>
    <w:rPr>
      <w:rFonts w:ascii="Arial" w:hAnsi="Arial" w:eastAsia="黑体" w:cs="Arial"/>
      <w:szCs w:val="20"/>
    </w:rPr>
  </w:style>
  <w:style w:type="character" w:customStyle="1" w:styleId="61">
    <w:name w:val="标题 1 字符"/>
    <w:basedOn w:val="30"/>
    <w:link w:val="2"/>
    <w:qFormat/>
    <w:uiPriority w:val="9"/>
    <w:rPr>
      <w:rFonts w:ascii="@仿宋_GB2312" w:hAnsi="@仿宋_GB2312" w:eastAsia="@仿宋_GB2312" w:cs="@仿宋_GB2312"/>
      <w:b/>
      <w:bCs/>
      <w:kern w:val="44"/>
      <w:sz w:val="44"/>
      <w:szCs w:val="44"/>
    </w:rPr>
  </w:style>
  <w:style w:type="paragraph" w:customStyle="1" w:styleId="6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字符"/>
    <w:basedOn w:val="30"/>
    <w:link w:val="5"/>
    <w:semiHidden/>
    <w:qFormat/>
    <w:uiPriority w:val="9"/>
    <w:rPr>
      <w:rFonts w:ascii="@仿宋_GB2312" w:hAnsi="@仿宋_GB2312" w:eastAsia="@仿宋_GB2312" w:cs="@仿宋_GB2312"/>
      <w:b/>
      <w:bCs/>
      <w:sz w:val="32"/>
      <w:szCs w:val="32"/>
    </w:rPr>
  </w:style>
  <w:style w:type="character" w:customStyle="1" w:styleId="64">
    <w:name w:val="fontstyle01"/>
    <w:basedOn w:val="30"/>
    <w:qFormat/>
    <w:uiPriority w:val="0"/>
    <w:rPr>
      <w:rFonts w:hint="eastAsia" w:ascii="宋体" w:hAnsi="宋体" w:eastAsia="宋体"/>
      <w:color w:val="000000"/>
      <w:sz w:val="22"/>
      <w:szCs w:val="22"/>
    </w:rPr>
  </w:style>
  <w:style w:type="character" w:customStyle="1" w:styleId="65">
    <w:name w:val="fontstyle21"/>
    <w:basedOn w:val="30"/>
    <w:qFormat/>
    <w:uiPriority w:val="0"/>
    <w:rPr>
      <w:rFonts w:hint="default" w:ascii="TimesNewRomanPSMT" w:hAnsi="TimesNewRomanPSMT"/>
      <w:color w:val="000000"/>
      <w:sz w:val="22"/>
      <w:szCs w:val="22"/>
    </w:rPr>
  </w:style>
  <w:style w:type="character" w:customStyle="1" w:styleId="66">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semiHidden/>
    <w:qFormat/>
    <w:uiPriority w:val="9"/>
    <w:rPr>
      <w:rFonts w:asciiTheme="majorHAnsi" w:hAnsiTheme="majorHAnsi" w:eastAsiaTheme="majorEastAsia" w:cstheme="majorBidi"/>
      <w:b/>
      <w:bCs/>
      <w:sz w:val="28"/>
      <w:szCs w:val="28"/>
    </w:rPr>
  </w:style>
  <w:style w:type="character" w:customStyle="1" w:styleId="68">
    <w:name w:val="标题 4 字符1"/>
    <w:link w:val="6"/>
    <w:qFormat/>
    <w:uiPriority w:val="0"/>
    <w:rPr>
      <w:rFonts w:ascii="@仿宋_GB2312" w:hAnsi="@仿宋_GB2312" w:eastAsia="@仿宋_GB2312" w:cs="@仿宋_GB2312"/>
      <w:b/>
      <w:bCs/>
      <w:sz w:val="28"/>
      <w:szCs w:val="28"/>
    </w:rPr>
  </w:style>
  <w:style w:type="character" w:customStyle="1" w:styleId="69">
    <w:name w:val="标题 4 Char"/>
    <w:qFormat/>
    <w:uiPriority w:val="0"/>
    <w:rPr>
      <w:rFonts w:ascii="Arial" w:hAnsi="Arial" w:eastAsia="Arial"/>
      <w:b/>
      <w:bCs/>
      <w:kern w:val="2"/>
      <w:sz w:val="28"/>
      <w:szCs w:val="28"/>
      <w:lang w:val="en-US" w:eastAsia="zh-CN" w:bidi="ar-SA"/>
    </w:rPr>
  </w:style>
  <w:style w:type="table" w:customStyle="1" w:styleId="70">
    <w:name w:val="网格型1"/>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
    <w:name w:val="批注主题 字符"/>
    <w:basedOn w:val="60"/>
    <w:link w:val="25"/>
    <w:semiHidden/>
    <w:qFormat/>
    <w:uiPriority w:val="99"/>
    <w:rPr>
      <w:rFonts w:ascii="@仿宋_GB2312" w:hAnsi="@仿宋_GB2312" w:eastAsia="@仿宋_GB2312" w:cs="@仿宋_GB2312"/>
      <w:b/>
      <w:bCs/>
      <w:szCs w:val="20"/>
    </w:rPr>
  </w:style>
  <w:style w:type="table" w:customStyle="1" w:styleId="72">
    <w:name w:val="Table Normal"/>
    <w:semiHidden/>
    <w:unhideWhenUsed/>
    <w:qFormat/>
    <w:uiPriority w:val="0"/>
    <w:tblPr>
      <w:tblCellMar>
        <w:top w:w="0" w:type="dxa"/>
        <w:left w:w="0" w:type="dxa"/>
        <w:bottom w:w="0" w:type="dxa"/>
        <w:right w:w="0" w:type="dxa"/>
      </w:tblCellMar>
    </w:tblPr>
  </w:style>
  <w:style w:type="paragraph" w:customStyle="1" w:styleId="73">
    <w:name w:val="Table Text"/>
    <w:basedOn w:val="1"/>
    <w:semiHidden/>
    <w:qFormat/>
    <w:uiPriority w:val="0"/>
    <w:rPr>
      <w:rFonts w:ascii="Arial" w:hAnsi="Arial" w:eastAsia="Arial" w:cs="Arial"/>
      <w:szCs w:val="21"/>
      <w:lang w:eastAsia="en-US"/>
    </w:rPr>
  </w:style>
  <w:style w:type="paragraph" w:customStyle="1" w:styleId="74">
    <w:name w:val="Table Paragraph"/>
    <w:basedOn w:val="1"/>
    <w:qFormat/>
    <w:uiPriority w:val="0"/>
    <w:rPr>
      <w:rFonts w:ascii="宋体" w:hAnsi="宋体" w:eastAsia="宋体" w:cs="宋体"/>
      <w:lang w:val="zh-CN" w:bidi="zh-CN"/>
    </w:rPr>
  </w:style>
  <w:style w:type="paragraph" w:customStyle="1" w:styleId="7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76">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77">
    <w:name w:val="UserStyle_6"/>
    <w:qFormat/>
    <w:uiPriority w:val="0"/>
    <w:pPr>
      <w:spacing w:line="440" w:lineRule="exact"/>
      <w:ind w:left="357" w:hanging="357"/>
      <w:jc w:val="both"/>
      <w:textAlignment w:val="baseline"/>
    </w:pPr>
    <w:rPr>
      <w:rFonts w:ascii="Times New Roman" w:hAnsi="Times New Roman" w:eastAsia="宋体" w:cs="Times New Roman"/>
      <w:kern w:val="2"/>
      <w:sz w:val="21"/>
      <w:szCs w:val="22"/>
      <w:lang w:val="en-US" w:eastAsia="zh-CN" w:bidi="ar-SA"/>
    </w:rPr>
  </w:style>
  <w:style w:type="character" w:customStyle="1" w:styleId="78">
    <w:name w:val="NormalCharacter"/>
    <w:semiHidden/>
    <w:qFormat/>
    <w:uiPriority w:val="0"/>
  </w:style>
  <w:style w:type="character" w:customStyle="1" w:styleId="79">
    <w:name w:val="hover"/>
    <w:basedOn w:val="30"/>
    <w:qFormat/>
    <w:uiPriority w:val="0"/>
  </w:style>
  <w:style w:type="character" w:customStyle="1" w:styleId="80">
    <w:name w:val="hover1"/>
    <w:basedOn w:val="30"/>
    <w:qFormat/>
    <w:uiPriority w:val="0"/>
    <w:rPr>
      <w:color w:val="2590EB"/>
    </w:rPr>
  </w:style>
  <w:style w:type="character" w:customStyle="1" w:styleId="81">
    <w:name w:val="hover2"/>
    <w:basedOn w:val="30"/>
    <w:qFormat/>
    <w:uiPriority w:val="0"/>
    <w:rPr>
      <w:color w:val="2590EB"/>
    </w:rPr>
  </w:style>
  <w:style w:type="character" w:customStyle="1" w:styleId="82">
    <w:name w:val="hover3"/>
    <w:basedOn w:val="30"/>
    <w:qFormat/>
    <w:uiPriority w:val="0"/>
    <w:rPr>
      <w:color w:val="2590EB"/>
      <w:shd w:val="clear" w:color="auto" w:fill="E9F4FD"/>
    </w:rPr>
  </w:style>
  <w:style w:type="character" w:customStyle="1" w:styleId="83">
    <w:name w:val="hover4"/>
    <w:basedOn w:val="30"/>
    <w:qFormat/>
    <w:uiPriority w:val="0"/>
    <w:rPr>
      <w:color w:val="2590EB"/>
      <w:shd w:val="clear" w:color="auto" w:fill="E9F4FD"/>
    </w:rPr>
  </w:style>
  <w:style w:type="paragraph" w:customStyle="1" w:styleId="84">
    <w:name w:val="A正文"/>
    <w:basedOn w:val="1"/>
    <w:qFormat/>
    <w:uiPriority w:val="0"/>
    <w:pPr>
      <w:tabs>
        <w:tab w:val="left" w:pos="893"/>
      </w:tabs>
      <w:spacing w:line="360" w:lineRule="auto"/>
      <w:ind w:firstLine="480"/>
    </w:pPr>
    <w:rPr>
      <w:rFonts w:ascii="Times New Roman" w:hAnsi="Times New Roman" w:eastAsia="宋体" w:cs="Times New Roman"/>
      <w:snapToGrid w:val="0"/>
      <w:color w:val="000000"/>
      <w:kern w:val="0"/>
      <w:sz w:val="24"/>
      <w:lang w:val="zh-CN"/>
    </w:rPr>
  </w:style>
  <w:style w:type="paragraph" w:customStyle="1" w:styleId="85">
    <w:name w:val="xl25"/>
    <w:basedOn w:val="1"/>
    <w:qFormat/>
    <w:uiPriority w:val="0"/>
    <w:pPr>
      <w:widowControl/>
      <w:spacing w:before="100" w:beforeAutospacing="1" w:after="100" w:afterAutospacing="1" w:line="400" w:lineRule="exact"/>
      <w:ind w:firstLine="960" w:firstLineChars="200"/>
      <w:jc w:val="right"/>
      <w:textAlignment w:val="baseline"/>
    </w:pPr>
    <w:rPr>
      <w:rFonts w:ascii="Arial Unicode MS" w:hAnsi="Arial Unicode MS" w:eastAsia="宋体" w:cs="Arial Unicode MS"/>
      <w:color w:val="000000"/>
      <w:kern w:val="0"/>
      <w:sz w:val="18"/>
      <w:szCs w:val="18"/>
      <w:u w:color="000000"/>
    </w:rPr>
  </w:style>
  <w:style w:type="character" w:customStyle="1" w:styleId="86">
    <w:name w:val="status"/>
    <w:basedOn w:val="30"/>
    <w:qFormat/>
    <w:uiPriority w:val="0"/>
    <w:rPr>
      <w:color w:val="0776DD"/>
    </w:rPr>
  </w:style>
  <w:style w:type="character" w:customStyle="1" w:styleId="87">
    <w:name w:val="time"/>
    <w:basedOn w:val="30"/>
    <w:qFormat/>
    <w:uiPriority w:val="0"/>
  </w:style>
  <w:style w:type="character" w:customStyle="1" w:styleId="88">
    <w:name w:val="last-child"/>
    <w:basedOn w:val="30"/>
    <w:qFormat/>
    <w:uiPriority w:val="0"/>
  </w:style>
  <w:style w:type="character" w:customStyle="1" w:styleId="89">
    <w:name w:val="first-child1"/>
    <w:basedOn w:val="30"/>
    <w:qFormat/>
    <w:uiPriority w:val="0"/>
  </w:style>
  <w:style w:type="character" w:customStyle="1" w:styleId="90">
    <w:name w:val="last-child1"/>
    <w:basedOn w:val="30"/>
    <w:qFormat/>
    <w:uiPriority w:val="0"/>
  </w:style>
  <w:style w:type="character" w:customStyle="1" w:styleId="91">
    <w:name w:val="font61"/>
    <w:basedOn w:val="30"/>
    <w:qFormat/>
    <w:uiPriority w:val="0"/>
    <w:rPr>
      <w:rFonts w:hint="eastAsia" w:ascii="宋体" w:hAnsi="宋体" w:eastAsia="宋体" w:cs="宋体"/>
      <w:color w:val="000000"/>
      <w:sz w:val="18"/>
      <w:szCs w:val="18"/>
      <w:u w:val="none"/>
      <w:vertAlign w:val="superscript"/>
    </w:rPr>
  </w:style>
  <w:style w:type="character" w:customStyle="1" w:styleId="92">
    <w:name w:val="font11"/>
    <w:basedOn w:val="30"/>
    <w:qFormat/>
    <w:uiPriority w:val="0"/>
    <w:rPr>
      <w:rFonts w:hint="eastAsia" w:ascii="宋体" w:hAnsi="宋体" w:eastAsia="宋体" w:cs="宋体"/>
      <w:color w:val="000000"/>
      <w:sz w:val="18"/>
      <w:szCs w:val="18"/>
      <w:u w:val="none"/>
    </w:rPr>
  </w:style>
  <w:style w:type="character" w:customStyle="1" w:styleId="93">
    <w:name w:val="font41"/>
    <w:basedOn w:val="30"/>
    <w:qFormat/>
    <w:uiPriority w:val="0"/>
    <w:rPr>
      <w:rFonts w:hint="eastAsia" w:ascii="宋体" w:hAnsi="宋体" w:eastAsia="宋体" w:cs="宋体"/>
      <w:color w:val="000000"/>
      <w:sz w:val="18"/>
      <w:szCs w:val="18"/>
      <w:u w:val="none"/>
      <w:vertAlign w:val="superscript"/>
    </w:rPr>
  </w:style>
  <w:style w:type="character" w:customStyle="1" w:styleId="94">
    <w:name w:val="font31"/>
    <w:basedOn w:val="30"/>
    <w:qFormat/>
    <w:uiPriority w:val="0"/>
    <w:rPr>
      <w:rFonts w:hint="eastAsia" w:ascii="宋体" w:hAnsi="宋体" w:eastAsia="宋体" w:cs="宋体"/>
      <w:color w:val="000000"/>
      <w:sz w:val="20"/>
      <w:szCs w:val="20"/>
      <w:u w:val="none"/>
      <w:vertAlign w:val="superscript"/>
    </w:rPr>
  </w:style>
  <w:style w:type="character" w:customStyle="1" w:styleId="95">
    <w:name w:val="font21"/>
    <w:basedOn w:val="30"/>
    <w:qFormat/>
    <w:uiPriority w:val="0"/>
    <w:rPr>
      <w:rFonts w:hint="eastAsia" w:ascii="宋体" w:hAnsi="宋体" w:eastAsia="宋体" w:cs="宋体"/>
      <w:color w:val="000000"/>
      <w:sz w:val="18"/>
      <w:szCs w:val="18"/>
      <w:u w:val="none"/>
    </w:rPr>
  </w:style>
  <w:style w:type="character" w:customStyle="1" w:styleId="96">
    <w:name w:val="15"/>
    <w:qFormat/>
    <w:uiPriority w:val="0"/>
    <w:rPr>
      <w:rFonts w:ascii="Cambria" w:hAnsi="Cambria" w:eastAsia="宋体" w:cs="黑体"/>
      <w:b/>
      <w:bCs/>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964a55a3-e54e-49e7-b342-e11cab477765</errorID>
      <errorWord>2026年04月08日</errorWord>
      <group>L1_Knowledge</group>
      <groupName>知识性问题</groupName>
      <ability>L2_Time</ability>
      <abilityName>日期时间</abilityName>
      <candidateList>
        <item>2026年4月8日</item>
      </candidateList>
      <explain>根据日常书写习惯，月份和日期一般会省略前导零。</explain>
      <paraID>6E4AE5F1</paraID>
      <start>37</start>
      <end>46</end>
      <status>modified</status>
      <modifiedWord>2026年4月8日</modifiedWord>
      <trackRevisions>false</trackRevisions>
    </reviewItem>
    <reviewItem>
      <errorID>46d4a6f6-ac12-4375-86ff-d31f4c8c4191</errorID>
      <errorWord>材料的</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5AFF1ADA</paraID>
      <start>21</start>
      <end>23</end>
      <status>modified</status>
      <modifiedWord>材料</modifiedWord>
      <trackRevisions>false</trackRevisions>
    </reviewItem>
    <reviewItem>
      <errorID>6c929752-f82f-4597-8c56-065eb5aa4e40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92C8D9F</paraID>
      <start>0</start>
      <end>2</end>
      <status>ignored</status>
      <modifiedWord/>
      <trackRevisions>false</trackRevisions>
    </reviewItem>
    <reviewItem>
      <errorID>cffb8ebb-aeed-48bf-8fbf-4511fcd0101f</errorID>
      <errorWord>的</errorWord>
      <group>L1_Word</group>
      <groupName>字词问题</groupName>
      <ability>L2_Typo</ability>
      <abilityName>字词错误</abilityName>
      <candidateList>
        <item>的可</item>
      </candidateList>
      <explain/>
      <paraID>624BD626</paraID>
      <start>69</start>
      <end>70</end>
      <status>ignored</status>
      <modifiedWord/>
      <trackRevisions>false</trackRevisions>
    </reviewItem>
    <reviewItem>
      <errorID>abfbe6b6-6367-4367-9d46-9a0f2dee150b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1402DF5D</paraID>
      <start>1</start>
      <end>4</end>
      <status>ignored</status>
      <modifiedWord/>
      <trackRevisions>false</trackRevisions>
    </reviewItem>
    <reviewItem>
      <errorID>0c898671-fc95-4690-85ed-99ada6bf2fcc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67A6BD04</paraID>
      <start>0</start>
      <end>3</end>
      <status>ignored</status>
      <modifiedWord/>
      <trackRevisions>false</trackRevisions>
    </reviewItem>
    <reviewItem>
      <errorID>210fd817-331f-4776-bb6f-9021a469b0f5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6A131239</paraID>
      <start>0</start>
      <end>3</end>
      <status>ignored</status>
      <modifiedWord/>
      <trackRevisions>false</trackRevisions>
    </reviewItem>
    <reviewItem>
      <errorID>228eb4ae-c619-4df3-b439-3e47da4d3ee5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4A10515C</paraID>
      <start>0</start>
      <end>3</end>
      <status>ignored</status>
      <modifiedWord/>
      <trackRevisions>false</trackRevisions>
    </reviewItem>
    <reviewItem>
      <errorID>888193c2-d90f-4733-9d9e-44e65d5c3d57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55B7FAE2</paraID>
      <start>0</start>
      <end>3</end>
      <status>ignored</status>
      <modifiedWord/>
      <trackRevisions>false</trackRevisions>
    </reviewItem>
    <reviewItem>
      <errorID>1e7f2d63-cbb6-432f-9e2a-533e87f053b3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309F1368</paraID>
      <start>0</start>
      <end>3</end>
      <status>ignored</status>
      <modifiedWord/>
      <trackRevisions>false</trackRevisions>
    </reviewItem>
    <reviewItem>
      <errorID>c3c71ef9-3f37-466d-8a2e-e21a6f1dedfd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662A6353</paraID>
      <start>0</start>
      <end>3</end>
      <status>ignored</status>
      <modifiedWord/>
      <trackRevisions>false</trackRevisions>
    </reviewItem>
    <reviewItem>
      <errorID>ff5cf181-008c-4383-864a-6f0eed593b91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153C19C7</paraID>
      <start>0</start>
      <end>3</end>
      <status>ignored</status>
      <modifiedWord/>
      <trackRevisions>false</trackRevisions>
    </reviewItem>
    <reviewItem>
      <errorID>4d6afccd-113d-46e1-b3ab-ff216f815b62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47C329C9</paraID>
      <start>0</start>
      <end>3</end>
      <status>ignored</status>
      <modifiedWord/>
      <trackRevisions>false</trackRevisions>
    </reviewItem>
    <reviewItem>
      <errorID>a1dd502e-cc54-4d62-b5c5-128774be0a8a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69981DAB</paraID>
      <start>0</start>
      <end>3</end>
      <status>ignored</status>
      <modifiedWord/>
      <trackRevisions>false</trackRevisions>
    </reviewItem>
    <reviewItem>
      <errorID>c5cca4ab-5142-401e-9280-beab3b249c2c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7AEC1D0E</paraID>
      <start>0</start>
      <end>4</end>
      <status>ignored</status>
      <modifiedWord/>
      <trackRevisions>false</trackRevisions>
    </reviewItem>
    <reviewItem>
      <errorID>c375afd4-99df-4031-9ef8-692849a619cc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B49A174</paraID>
      <start>0</start>
      <end>4</end>
      <status>ignored</status>
      <modifiedWord/>
      <trackRevisions>false</trackRevisions>
    </reviewItem>
    <reviewItem>
      <errorID>ac6ccc7b-e1b0-420b-9bfe-d735a1043b92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2C846E16</paraID>
      <start>0</start>
      <end>4</end>
      <status>unmodified</status>
      <modifiedWord/>
      <trackRevisions>false</trackRevisions>
    </reviewItem>
    <reviewItem>
      <errorID>9bf7b0c0-99c8-473c-b247-f9776a056519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21ACC596</paraID>
      <start>0</start>
      <end>4</end>
      <status>ignored</status>
      <modifiedWord/>
      <trackRevisions>false</trackRevisions>
    </reviewItem>
    <reviewItem>
      <errorID>5f0f5458-1849-477b-84b5-435b62cad665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8EFDFBA</paraID>
      <start>0</start>
      <end>4</end>
      <status>unmodified</status>
      <modifiedWord/>
      <trackRevisions>false</trackRevisions>
    </reviewItem>
    <reviewItem>
      <errorID>a43197a4-7470-40e4-beb7-099f2477528a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401D138</paraID>
      <start>0</start>
      <end>3</end>
      <status>ignored</status>
      <modifiedWord/>
      <trackRevisions>false</trackRevisions>
    </reviewItem>
    <reviewItem>
      <errorID>59fefd6d-903c-4a92-9a2f-941ec97d270c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70883031</paraID>
      <start>0</start>
      <end>3</end>
      <status>ignored</status>
      <modifiedWord/>
      <trackRevisions>false</trackRevisions>
    </reviewItem>
    <reviewItem>
      <errorID>f0192da7-c323-4b94-8713-c960a138532b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40F182A0</paraID>
      <start>0</start>
      <end>3</end>
      <status>ignored</status>
      <modifiedWord/>
      <trackRevisions>false</trackRevisions>
    </reviewItem>
    <reviewItem>
      <errorID>10152912-c4f2-4ce3-9af2-54df8f7b8a40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4482FEF5</paraID>
      <start>0</start>
      <end>3</end>
      <status>unmodified</status>
      <modifiedWord/>
      <trackRevisions>false</trackRevisions>
    </reviewItem>
    <reviewItem>
      <errorID>05808d18-95f7-4086-aa67-999d3c96f4c7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4EEDA7C5</paraID>
      <start>0</start>
      <end>3</end>
      <status>ignored</status>
      <modifiedWord/>
      <trackRevisions>false</trackRevisions>
    </reviewItem>
    <reviewItem>
      <errorID>7f412fd4-5357-40d3-b498-fc9f258fe32f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387162BE</paraID>
      <start>0</start>
      <end>3</end>
      <status>ignored</status>
      <modifiedWord/>
      <trackRevisions>false</trackRevisions>
    </reviewItem>
    <reviewItem>
      <errorID>ed2b09fa-3de5-45fa-8013-61d5bcec6484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2DF78D80</paraID>
      <start>0</start>
      <end>3</end>
      <status>unmodified</status>
      <modifiedWord/>
      <trackRevisions>false</trackRevisions>
    </reviewItem>
    <reviewItem>
      <errorID>63c9c073-4c23-4ba3-a73f-7d856597301f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14E40C81</paraID>
      <start>0</start>
      <end>3</end>
      <status>ignored</status>
      <modifiedWord/>
      <trackRevisions>false</trackRevisions>
    </reviewItem>
    <reviewItem>
      <errorID>aa534b1d-daea-41dc-800f-1a2a74b72709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4EC2DA55</paraID>
      <start>0</start>
      <end>3</end>
      <status>unmodified</status>
      <modifiedWord/>
      <trackRevisions>false</trackRevisions>
    </reviewItem>
    <reviewItem>
      <errorID>d4ca93d6-f6e8-413b-80fd-df33f9bc392a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F7F6EE</paraID>
      <start>0</start>
      <end>3</end>
      <status>ignored</status>
      <modifiedWord/>
      <trackRevisions>false</trackRevisions>
    </reviewItem>
    <reviewItem>
      <errorID>ff046e5b-58bc-4f0c-b130-2d416e11853b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2E3D504C</paraID>
      <start>0</start>
      <end>3</end>
      <status>ignored</status>
      <modifiedWord/>
      <trackRevisions>false</trackRevisions>
    </reviewItem>
    <reviewItem>
      <errorID>338b88c5-f196-47ad-8407-10686d6f7bd4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51423B6E</paraID>
      <start>0</start>
      <end>3</end>
      <status>unmodified</status>
      <modifiedWord/>
      <trackRevisions>false</trackRevisions>
    </reviewItem>
    <reviewItem>
      <errorID>36cf9062-68a6-4873-8f92-275f991e62ea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4D2A4791</paraID>
      <start>0</start>
      <end>3</end>
      <status>ignored</status>
      <modifiedWord/>
      <trackRevisions>false</trackRevisions>
    </reviewItem>
    <reviewItem>
      <errorID>183f7ddf-11ba-4f52-8394-84dced25fb2c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3D5232E2</paraID>
      <start>0</start>
      <end>3</end>
      <status>ignored</status>
      <modifiedWord/>
      <trackRevisions>false</trackRevisions>
    </reviewItem>
    <reviewItem>
      <errorID>ccbd52a7-31fa-4a80-a1d8-f3e912db6e83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32E9208F</paraID>
      <start>0</start>
      <end>3</end>
      <status>unmodified</status>
      <modifiedWord/>
      <trackRevisions>false</trackRevisions>
    </reviewItem>
    <reviewItem>
      <errorID>9667ff10-d87d-4041-9732-5abb78fb4f88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70BC82CA</paraID>
      <start>0</start>
      <end>3</end>
      <status>unmodified</status>
      <modifiedWord/>
      <trackRevisions>false</trackRevisions>
    </reviewItem>
    <reviewItem>
      <errorID>9d9bc393-f327-48bc-a8b0-48a6df0190a1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29E52A57</paraID>
      <start>0</start>
      <end>2</end>
      <status>ignored</status>
      <modifiedWord/>
      <trackRevisions>false</trackRevisions>
    </reviewItem>
    <reviewItem>
      <errorID>0680c14f-8ef6-4a53-a197-b1e8b3e0de25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21E918C7</paraID>
      <start>0</start>
      <end>2</end>
      <status>ignored</status>
      <modifiedWord/>
      <trackRevisions>false</trackRevisions>
    </reviewItem>
    <reviewItem>
      <errorID>11d6bc81-322b-42d0-8973-e53a731d22d1</errorID>
      <errorWord>，</errorWord>
      <group>L1_Word</group>
      <groupName>字词问题</groupName>
      <ability>L2_Typo</ability>
      <abilityName>字词错误</abilityName>
      <candidateList>
        <item>，具</item>
      </candidateList>
      <explain/>
      <paraID>57ECD892</paraID>
      <start>91</start>
      <end>92</end>
      <status>unmodified</status>
      <modifiedWord/>
      <trackRevisions>false</trackRevisions>
    </reviewItem>
    <reviewItem>
      <errorID>cee94f5d-5ec9-488b-9776-e017d31f2e39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1065697E</paraID>
      <start>49</start>
      <end>52</end>
      <status>ignored</status>
      <modifiedWord/>
      <trackRevisions>false</trackRevisions>
    </reviewItem>
    <reviewItem>
      <errorID>0a6320ce-05c0-4da7-911a-5e94b94eb43b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7D3BCE08</paraID>
      <start>0</start>
      <end>2</end>
      <status>ignored</status>
      <modifiedWord/>
      <trackRevisions>false</trackRevisions>
    </reviewItem>
    <reviewItem>
      <errorID>2e83e140-ac3a-45e2-8914-8e7c84903588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C8BEF4E</paraID>
      <start>0</start>
      <end>2</end>
      <status>ignored</status>
      <modifiedWord/>
      <trackRevisions>false</trackRevisions>
    </reviewItem>
    <reviewItem>
      <errorID>985f1764-8cdb-48ee-bc32-a3bcf62ef106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69907896</paraID>
      <start>0</start>
      <end>2</end>
      <status>ignored</status>
      <modifiedWord/>
      <trackRevisions>false</trackRevisions>
    </reviewItem>
    <reviewItem>
      <errorID>a6a6a780-bdb3-44a6-a282-524227fce58e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7D09BE64</paraID>
      <start>0</start>
      <end>2</end>
      <status>unmodified</status>
      <modifiedWord/>
      <trackRevisions>false</trackRevisions>
    </reviewItem>
    <reviewItem>
      <errorID>35551fe2-365f-4599-a55f-2b1b5435c8c5</errorID>
      <errorWord>(</errorWord>
      <group>L1_Format</group>
      <groupName>格式问题</groupName>
      <ability>L2_HalfPunc</ability>
      <abilityName>全半角检查</abilityName>
      <candidateList>
        <item>（</item>
      </candidateList>
      <explain>文本全半角错误。</explain>
      <paraID>7D09BE64</paraID>
      <start>51</start>
      <end>52</end>
      <status>unmodified</status>
      <modifiedWord/>
      <trackRevisions>false</trackRevisions>
    </reviewItem>
    <reviewItem>
      <errorID>5c1d68d5-6d23-4a1c-bf5d-091c823cddc8</errorID>
      <errorWord>)</errorWord>
      <group>L1_Format</group>
      <groupName>格式问题</groupName>
      <ability>L2_HalfPunc</ability>
      <abilityName>全半角检查</abilityName>
      <candidateList>
        <item>）</item>
      </candidateList>
      <explain>文本全半角错误。</explain>
      <paraID>7D09BE64</paraID>
      <start>55</start>
      <end>56</end>
      <status>unmodified</status>
      <modifiedWord/>
      <trackRevisions>false</trackRevisions>
    </reviewItem>
    <reviewItem>
      <errorID>5b895800-5714-40d6-b04a-df091bce1b2f</errorID>
      <errorWord>;</errorWord>
      <group>L1_Format</group>
      <groupName>格式问题</groupName>
      <ability>L2_HalfPunc</ability>
      <abilityName>全半角检查</abilityName>
      <candidateList>
        <item>；</item>
      </candidateList>
      <explain>文本全半角错误。</explain>
      <paraID>14D8CAFA</paraID>
      <start>13</start>
      <end>14</end>
      <status>unmodified</status>
      <modifiedWord/>
      <trackRevisions>false</trackRevisions>
    </reviewItem>
    <reviewItem>
      <errorID>a79c71f0-e2b7-400b-8705-07ddab22f33a</errorID>
      <errorWord>(</errorWord>
      <group>L1_Format</group>
      <groupName>格式问题</groupName>
      <ability>L2_HalfPunc</ability>
      <abilityName>全半角检查</abilityName>
      <candidateList>
        <item>（</item>
      </candidateList>
      <explain>文本全半角错误。</explain>
      <paraID>27ED777E</paraID>
      <start>26</start>
      <end>27</end>
      <status>unmodified</status>
      <modifiedWord/>
      <trackRevisions>false</trackRevisions>
    </reviewItem>
    <reviewItem>
      <errorID>1ed157b3-0303-4464-9ff1-66f1226e4787</errorID>
      <errorWord>)</errorWord>
      <group>L1_Format</group>
      <groupName>格式问题</groupName>
      <ability>L2_HalfPunc</ability>
      <abilityName>全半角检查</abilityName>
      <candidateList>
        <item>）</item>
      </candidateList>
      <explain>文本全半角错误。</explain>
      <paraID>27ED777E</paraID>
      <start>42</start>
      <end>43</end>
      <status>unmodified</status>
      <modifiedWord/>
      <trackRevisions>false</trackRevisions>
    </reviewItem>
    <reviewItem>
      <errorID>390b839d-c01d-49c3-861e-90011c0cd451</errorID>
      <errorWord>、</errorWord>
      <group>L1_Word</group>
      <groupName>字词问题</groupName>
      <ability>L2_Typo</ability>
      <abilityName>字词错误</abilityName>
      <candidateList>
        <item>、在</item>
      </candidateList>
      <explain/>
      <paraID>14223D31</paraID>
      <start>1</start>
      <end>2</end>
      <status>unmodified</status>
      <modifiedWord/>
      <trackRevisions>false</trackRevisions>
    </reviewItem>
    <reviewItem>
      <errorID>c60a629b-9039-4d7a-81b9-74e462c544ae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60546F70</paraID>
      <start>0</start>
      <end>2</end>
      <status>unmodified</status>
      <modifiedWord/>
      <trackRevisions>false</trackRevisions>
    </reviewItem>
    <reviewItem>
      <errorID>2ac791f8-1767-4ffa-b76d-c9a048c6dffa</errorID>
      <errorWord>(</errorWord>
      <group>L1_Format</group>
      <groupName>格式问题</groupName>
      <ability>L2_HalfPunc</ability>
      <abilityName>全半角检查</abilityName>
      <candidateList>
        <item>（</item>
      </candidateList>
      <explain>文本全半角错误。</explain>
      <paraID>60546F70</paraID>
      <start>18</start>
      <end>19</end>
      <status>unmodified</status>
      <modifiedWord/>
      <trackRevisions>false</trackRevisions>
    </reviewItem>
    <reviewItem>
      <errorID>56d40ab9-410b-4909-9e75-ce9ccd06c7a6</errorID>
      <errorWord>)</errorWord>
      <group>L1_Format</group>
      <groupName>格式问题</groupName>
      <ability>L2_HalfPunc</ability>
      <abilityName>全半角检查</abilityName>
      <candidateList>
        <item>）</item>
      </candidateList>
      <explain>文本全半角错误。</explain>
      <paraID>60546F70</paraID>
      <start>22</start>
      <end>23</end>
      <status>unmodified</status>
      <modifiedWord/>
      <trackRevisions>false</trackRevisions>
    </reviewItem>
    <reviewItem>
      <errorID>28128739-1592-4462-a89e-709ba63c6e5b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7F8A1876</paraID>
      <start>0</start>
      <end>2</end>
      <status>unmodified</status>
      <modifiedWord/>
      <trackRevisions>false</trackRevisions>
    </reviewItem>
    <reviewItem>
      <errorID>ac6fe9a2-2c3d-4eb3-a6ab-c6081e83aad5</errorID>
      <errorWord>;</errorWord>
      <group>L1_Format</group>
      <groupName>格式问题</groupName>
      <ability>L2_HalfPunc</ability>
      <abilityName>全半角检查</abilityName>
      <candidateList>
        <item>；</item>
      </candidateList>
      <explain>文本全半角错误。</explain>
      <paraID>3119D131</paraID>
      <start>13</start>
      <end>14</end>
      <status>unmodified</status>
      <modifiedWord/>
      <trackRevisions>false</trackRevisions>
    </reviewItem>
    <reviewItem>
      <errorID>cd7fe760-de7b-4eeb-9aa4-4a7b86d0df99</errorID>
      <errorWord>(</errorWord>
      <group>L1_Format</group>
      <groupName>格式问题</groupName>
      <ability>L2_HalfPunc</ability>
      <abilityName>全半角检查</abilityName>
      <candidateList>
        <item>（</item>
      </candidateList>
      <explain>文本全半角错误。</explain>
      <paraID>  7F88F4</paraID>
      <start>26</start>
      <end>27</end>
      <status>unmodified</status>
      <modifiedWord/>
      <trackRevisions>false</trackRevisions>
    </reviewItem>
    <reviewItem>
      <errorID>5bbc4a57-7601-41b0-bea0-d6b83d2e0512</errorID>
      <errorWord>)</errorWord>
      <group>L1_Format</group>
      <groupName>格式问题</groupName>
      <ability>L2_HalfPunc</ability>
      <abilityName>全半角检查</abilityName>
      <candidateList>
        <item>）</item>
      </candidateList>
      <explain>文本全半角错误。</explain>
      <paraID>  7F88F4</paraID>
      <start>42</start>
      <end>43</end>
      <status>unmodified</status>
      <modifiedWord/>
      <trackRevisions>false</trackRevisions>
    </reviewItem>
    <reviewItem>
      <errorID>d3348f16-e5d3-470b-92c4-826b787589f2</errorID>
      <errorWord>、</errorWord>
      <group>L1_Word</group>
      <groupName>字词问题</groupName>
      <ability>L2_Typo</ability>
      <abilityName>字词错误</abilityName>
      <candidateList>
        <item>、在</item>
      </candidateList>
      <explain/>
      <paraID>779BF979</paraID>
      <start>1</start>
      <end>2</end>
      <status>unmodified</status>
      <modifiedWord/>
      <trackRevisions>false</trackRevisions>
    </reviewItem>
    <reviewItem>
      <errorID>351cf0ac-d612-4859-9963-842804731a38</errorID>
      <errorWord>、</errorWord>
      <group>L1_Word</group>
      <groupName>字词问题</groupName>
      <ability>L2_Typo</ability>
      <abilityName>字词错误</abilityName>
      <candidateList>
        <item>、在</item>
      </candidateList>
      <explain/>
      <paraID>471C3E92</paraID>
      <start>1</start>
      <end>2</end>
      <status>unmodified</status>
      <modifiedWord/>
      <trackRevisions>false</trackRevisions>
    </reviewItem>
    <reviewItem>
      <errorID>f8769a67-52a6-4a3f-a061-b25b7f732d46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6F4CDE8F</paraID>
      <start>0</start>
      <end>2</end>
      <status>unmodified</status>
      <modifiedWord/>
      <trackRevisions>false</trackRevisions>
    </reviewItem>
    <reviewItem>
      <errorID>cd244aaa-d8e2-4ddf-ad41-86b2e9f099d7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1A7C3B25</paraID>
      <start>0</start>
      <end>2</end>
      <status>unmodified</status>
      <modifiedWord/>
      <trackRevisions>false</trackRevisions>
    </reviewItem>
    <reviewItem>
      <errorID>e8e85c41-fe6d-4f8b-bca3-107b2c02b93c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1515837D</paraID>
      <start>0</start>
      <end>2</end>
      <status>unmodified</status>
      <modifiedWord/>
      <trackRevisions>false</trackRevisions>
    </reviewItem>
    <reviewItem>
      <errorID>1a428372-e6a1-4e03-9aab-b0df0684315e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8656277</paraID>
      <start>0</start>
      <end>2</end>
      <status>unmodified</status>
      <modifiedWord/>
      <trackRevisions>false</trackRevisions>
    </reviewItem>
    <reviewItem>
      <errorID>e5f0a85d-9a08-47b1-ae15-f50d11c84352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453D5569</paraID>
      <start>0</start>
      <end>2</end>
      <status>unmodified</status>
      <modifiedWord/>
      <trackRevisions>false</trackRevisions>
    </reviewItem>
    <reviewItem>
      <errorID>123730fb-75cf-4fc1-af58-2a35a2f6e343</errorID>
      <errorWord>(</errorWord>
      <group>L1_Format</group>
      <groupName>格式问题</groupName>
      <ability>L2_HalfPunc</ability>
      <abilityName>全半角检查</abilityName>
      <candidateList>
        <item>（</item>
      </candidateList>
      <explain>文本全半角错误。</explain>
      <paraID>44270A0B</paraID>
      <start>130</start>
      <end>131</end>
      <status>unmodified</status>
      <modifiedWord/>
      <trackRevisions>false</trackRevisions>
    </reviewItem>
    <reviewItem>
      <errorID>3ca6dc60-bb32-4850-acee-8227ce0f1462</errorID>
      <errorWord>)</errorWord>
      <group>L1_Format</group>
      <groupName>格式问题</groupName>
      <ability>L2_HalfPunc</ability>
      <abilityName>全半角检查</abilityName>
      <candidateList>
        <item>）</item>
      </candidateList>
      <explain>文本全半角错误。</explain>
      <paraID>44270A0B</paraID>
      <start>133</start>
      <end>134</end>
      <status>unmodified</status>
      <modifiedWord/>
      <trackRevisions>false</trackRevisions>
    </reviewItem>
    <reviewItem>
      <errorID>0ed4fa90-e1d2-4214-afc2-f0dc0eb919ea</errorID>
      <errorWord>)</errorWord>
      <group>L1_Format</group>
      <groupName>格式问题</groupName>
      <ability>L2_HalfPunc</ability>
      <abilityName>全半角检查</abilityName>
      <candidateList>
        <item>）</item>
      </candidateList>
      <explain>文本全半角错误。</explain>
      <paraID>44270A0B</paraID>
      <start>274</start>
      <end>275</end>
      <status>unmodified</status>
      <modifiedWord/>
      <trackRevisions>false</trackRevisions>
    </reviewItem>
    <reviewItem>
      <errorID>8f5b39f8-5142-401f-a841-58ca7ca9be7f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28D79BFE</paraID>
      <start>0</start>
      <end>2</end>
      <status>unmodified</status>
      <modifiedWord/>
      <trackRevisions>false</trackRevisions>
    </reviewItem>
    <reviewItem>
      <errorID>5026bc7b-95e0-4ae3-9364-8458438137d4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7D462433</paraID>
      <start>0</start>
      <end>2</end>
      <status>unmodified</status>
      <modifiedWord/>
      <trackRevisions>false</trackRevisions>
    </reviewItem>
    <reviewItem>
      <errorID>8fbc4295-8877-42ff-8cac-cd856e6dc734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44146151</paraID>
      <start>0</start>
      <end>2</end>
      <status>unmodified</status>
      <modifiedWord/>
      <trackRevisions>false</trackRevisions>
    </reviewItem>
    <reviewItem>
      <errorID>d461ebe1-3590-4478-9571-6bc409a48263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51DDFF2A</paraID>
      <start>0</start>
      <end>2</end>
      <status>unmodified</status>
      <modifiedWord/>
      <trackRevisions>false</trackRevisions>
    </reviewItem>
    <reviewItem>
      <errorID>673d213d-7b96-41bf-80e9-6ceff2746a99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6C230B0</paraID>
      <start>0</start>
      <end>2</end>
      <status>unmodified</status>
      <modifiedWord/>
      <trackRevisions>false</trackRevisions>
    </reviewItem>
    <reviewItem>
      <errorID>7d346c24-6b69-4b1c-9ae4-9e304971a984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2D418EF0</paraID>
      <start>0</start>
      <end>2</end>
      <status>unmodified</status>
      <modifiedWord/>
      <trackRevisions>false</trackRevisions>
    </reviewItem>
    <reviewItem>
      <errorID>9725b987-fbbc-40f1-b12f-b8bb40cc52ef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3B56E68</paraID>
      <start>0</start>
      <end>2</end>
      <status>unmodified</status>
      <modifiedWord/>
      <trackRevisions>false</trackRevisions>
    </reviewItem>
    <reviewItem>
      <errorID>81a820a4-823e-48b7-a188-ecbe3ad5e26a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7DF71077</paraID>
      <start>0</start>
      <end>2</end>
      <status>unmodified</status>
      <modifiedWord/>
      <trackRevisions>false</trackRevisions>
    </reviewItem>
    <reviewItem>
      <errorID>9df035a0-ee12-40ca-9392-b6d70a5c5e92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7EE7098E</paraID>
      <start>0</start>
      <end>2</end>
      <status>unmodified</status>
      <modifiedWord/>
      <trackRevisions>false</trackRevisions>
    </reviewItem>
    <reviewItem>
      <errorID>a7fc73f6-6977-4030-acd6-5ee567fa7867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1E8C0221</paraID>
      <start>0</start>
      <end>2</end>
      <status>unmodified</status>
      <modifiedWord/>
      <trackRevisions>false</trackRevisions>
    </reviewItem>
    <reviewItem>
      <errorID>c80c6719-3867-4de5-880d-253b89a0aa89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61A4F68E</paraID>
      <start>0</start>
      <end>2</end>
      <status>unmodified</status>
      <modifiedWord/>
      <trackRevisions>false</trackRevisions>
    </reviewItem>
    <reviewItem>
      <errorID>5b0b14b9-5d63-43ca-877f-5156182d7a86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7DF48A5B</paraID>
      <start>39</start>
      <end>42</end>
      <status>unmodified</status>
      <modifiedWord/>
      <trackRevisions>false</trackRevisions>
    </reviewItem>
    <reviewItem>
      <errorID>40bb7e90-4af3-49cd-abfc-35f5f07cc0f5</errorID>
      <errorWord>,</errorWord>
      <group>L1_Format</group>
      <groupName>格式问题</groupName>
      <ability>L2_HalfPunc</ability>
      <abilityName>全半角检查</abilityName>
      <candidateList>
        <item>，</item>
      </candidateList>
      <explain>文本全半角错误。</explain>
      <paraID>15CEA1EB</paraID>
      <start>24</start>
      <end>25</end>
      <status>unmodified</status>
      <modifiedWord/>
      <trackRevisions>false</trackRevisions>
    </reviewItem>
    <reviewItem>
      <errorID>e3aacf63-0f1f-4ce1-a082-19ce01eb6779</errorID>
      <errorWord>《政府采购法》</errorWord>
      <group>L1_Word</group>
      <groupName>字词问题</groupName>
      <ability>L2_Typo</ability>
      <abilityName>字词错误</abilityName>
      <candidateList>
        <item>《中华人民共和国政府采购法》</item>
      </candidateList>
      <explain/>
      <paraID>58EC873E</paraID>
      <start>157</start>
      <end>164</end>
      <status>unmodified</status>
      <modifiedWord/>
      <trackRevisions>false</trackRevisions>
    </reviewItem>
    <reviewItem>
      <errorID>109b5a97-a949-4874-89ea-c67d88d7b338</errorID>
      <errorWord>第78条</errorWord>
      <group>L1_Knowledge</group>
      <groupName>知识性问题</groupName>
      <ability>L2_Knowledge</ability>
      <abilityName>其他知识</abilityName>
      <candidateList>
        <item>第七十八条</item>
      </candidateList>
      <explain/>
      <paraID>58EC873E</paraID>
      <start>164</start>
      <end>168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7E45E3-63EF-4D35-A738-98E25DDA1DBC}">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45</Pages>
  <Words>25141</Words>
  <Characters>26381</Characters>
  <Lines>879</Lines>
  <Paragraphs>969</Paragraphs>
  <TotalTime>9</TotalTime>
  <ScaleCrop>false</ScaleCrop>
  <LinksUpToDate>false</LinksUpToDate>
  <CharactersWithSpaces>27870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2019-05-07T22:32:00Z</dcterms:created>
  <dc:creator>Anakin</dc:creator>
  <cp:lastModifiedBy>Trayvon</cp:lastModifiedBy>
  <cp:lastPrinted>2019-12-08T23:18:00Z</cp:lastPrinted>
  <dcterms:modified xsi:type="dcterms:W3CDTF">2026-09-03T03:01:18Z</dcterms:modified>
  <cp:revision>390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8F39F982294B4D23BB28A9E20DEAFE2C_13</vt:lpwstr>
  </property>
  <property fmtid="{D5CDD505-2E9C-101B-9397-08002B2CF9AE}" pid="4" name="KSOTemplateDocerSaveRecord">
    <vt:lpwstr>eyJoZGlkIjoiYmYwMjRjMDQwMWQzYzBhZGZiY2M4ZjI5YjNmYTE2MGMiLCJ1c2VySWQiOiIzOTgzMDQ1NzEifQ==</vt:lpwstr>
  </property>
</Properties>
</file>