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1EC49">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52"/>
          <w:szCs w:val="52"/>
          <w:highlight w:val="none"/>
        </w:rPr>
      </w:pPr>
    </w:p>
    <w:p w14:paraId="22BD8CF5">
      <w:pPr>
        <w:keepNext w:val="0"/>
        <w:keepLines w:val="0"/>
        <w:pageBreakBefore w:val="0"/>
        <w:widowControl w:val="0"/>
        <w:tabs>
          <w:tab w:val="left" w:pos="315"/>
          <w:tab w:val="left" w:pos="8820"/>
        </w:tabs>
        <w:kinsoku/>
        <w:wordWrap/>
        <w:overflowPunct/>
        <w:topLinePunct w:val="0"/>
        <w:autoSpaceDE/>
        <w:autoSpaceDN/>
        <w:bidi w:val="0"/>
        <w:adjustRightInd/>
        <w:snapToGrid/>
        <w:spacing w:before="312" w:beforeLines="100" w:after="156" w:afterLines="50" w:line="700" w:lineRule="exact"/>
        <w:ind w:right="267" w:rightChars="127"/>
        <w:jc w:val="center"/>
        <w:textAlignment w:val="auto"/>
        <w:rPr>
          <w:rFonts w:hint="eastAsia" w:ascii="宋体" w:hAnsi="宋体" w:eastAsia="宋体" w:cs="宋体"/>
          <w:b/>
          <w:bCs/>
          <w:color w:val="auto"/>
          <w:sz w:val="52"/>
          <w:szCs w:val="52"/>
          <w:highlight w:val="none"/>
          <w:lang w:eastAsia="zh-CN"/>
        </w:rPr>
      </w:pPr>
      <w:bookmarkStart w:id="0" w:name="_Hlk9544796"/>
      <w:r>
        <w:rPr>
          <w:rFonts w:hint="eastAsia" w:ascii="宋体" w:hAnsi="宋体" w:eastAsia="宋体" w:cs="宋体"/>
          <w:b/>
          <w:bCs/>
          <w:color w:val="auto"/>
          <w:sz w:val="52"/>
          <w:szCs w:val="52"/>
          <w:highlight w:val="none"/>
          <w:lang w:val="en-US" w:eastAsia="zh-CN"/>
        </w:rPr>
        <w:t>安徽省</w:t>
      </w:r>
      <w:r>
        <w:rPr>
          <w:rFonts w:hint="eastAsia" w:ascii="宋体" w:hAnsi="宋体" w:eastAsia="宋体" w:cs="宋体"/>
          <w:b/>
          <w:bCs/>
          <w:color w:val="auto"/>
          <w:sz w:val="52"/>
          <w:szCs w:val="52"/>
          <w:highlight w:val="none"/>
        </w:rPr>
        <w:t>政府采购</w:t>
      </w:r>
      <w:r>
        <w:rPr>
          <w:rFonts w:hint="eastAsia" w:ascii="宋体" w:hAnsi="宋体" w:eastAsia="宋体" w:cs="宋体"/>
          <w:b/>
          <w:bCs/>
          <w:color w:val="auto"/>
          <w:sz w:val="52"/>
          <w:szCs w:val="52"/>
          <w:highlight w:val="none"/>
          <w:lang w:eastAsia="zh-CN"/>
        </w:rPr>
        <w:t>项目</w:t>
      </w:r>
      <w:r>
        <w:rPr>
          <w:rFonts w:hint="eastAsia" w:ascii="宋体" w:hAnsi="宋体" w:eastAsia="宋体" w:cs="宋体"/>
          <w:b/>
          <w:bCs/>
          <w:color w:val="auto"/>
          <w:sz w:val="52"/>
          <w:szCs w:val="52"/>
          <w:highlight w:val="none"/>
        </w:rPr>
        <w:t>公开招标文件示范文本</w:t>
      </w:r>
      <w:bookmarkEnd w:id="0"/>
    </w:p>
    <w:p w14:paraId="4B366C3E">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4"/>
          <w:szCs w:val="44"/>
          <w:highlight w:val="none"/>
        </w:rPr>
      </w:pPr>
    </w:p>
    <w:p w14:paraId="4B16B696">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4"/>
          <w:szCs w:val="44"/>
          <w:highlight w:val="none"/>
        </w:rPr>
      </w:pPr>
    </w:p>
    <w:p w14:paraId="74BB1147">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4"/>
          <w:szCs w:val="44"/>
          <w:highlight w:val="none"/>
        </w:rPr>
      </w:pPr>
    </w:p>
    <w:p w14:paraId="5917B6CF">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4"/>
          <w:szCs w:val="44"/>
          <w:highlight w:val="none"/>
        </w:rPr>
      </w:pPr>
    </w:p>
    <w:p w14:paraId="0238876D">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4"/>
          <w:szCs w:val="44"/>
          <w:highlight w:val="none"/>
        </w:rPr>
      </w:pPr>
    </w:p>
    <w:p w14:paraId="2C12B4E6">
      <w:pPr>
        <w:tabs>
          <w:tab w:val="left" w:pos="315"/>
          <w:tab w:val="left" w:pos="8820"/>
        </w:tabs>
        <w:spacing w:before="312" w:beforeLines="100" w:after="156" w:afterLines="50" w:line="500" w:lineRule="exact"/>
        <w:ind w:right="267" w:rightChars="127"/>
        <w:jc w:val="center"/>
        <w:rPr>
          <w:rFonts w:hint="eastAsia" w:ascii="宋体" w:hAnsi="宋体" w:eastAsia="宋体" w:cs="宋体"/>
          <w:b/>
          <w:bCs/>
          <w:color w:val="auto"/>
          <w:sz w:val="44"/>
          <w:szCs w:val="44"/>
          <w:highlight w:val="none"/>
        </w:rPr>
      </w:pPr>
    </w:p>
    <w:p w14:paraId="42A30E6C">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val="en-US" w:eastAsia="zh-CN"/>
        </w:rPr>
      </w:pPr>
      <w:r>
        <w:rPr>
          <w:rFonts w:hint="eastAsia" w:ascii="宋体" w:hAnsi="宋体" w:eastAsia="宋体" w:cs="宋体"/>
          <w:b/>
          <w:color w:val="auto"/>
          <w:spacing w:val="20"/>
          <w:kern w:val="0"/>
          <w:sz w:val="32"/>
          <w:szCs w:val="32"/>
          <w:highlight w:val="none"/>
        </w:rPr>
        <w:t>项目名称：</w:t>
      </w:r>
      <w:r>
        <w:rPr>
          <w:rFonts w:hint="eastAsia" w:ascii="宋体" w:hAnsi="宋体" w:eastAsia="宋体" w:cs="宋体"/>
          <w:b/>
          <w:color w:val="auto"/>
          <w:spacing w:val="20"/>
          <w:kern w:val="0"/>
          <w:sz w:val="32"/>
          <w:szCs w:val="32"/>
          <w:highlight w:val="none"/>
          <w:u w:val="single"/>
          <w:lang w:val="en-US" w:eastAsia="zh-CN"/>
        </w:rPr>
        <w:t>2026年滁州市卫生监督在线监测平台运维项目</w:t>
      </w:r>
    </w:p>
    <w:p w14:paraId="7A457A3A">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u w:val="single"/>
          <w:lang w:val="en-US" w:eastAsia="zh-CN"/>
        </w:rPr>
      </w:pPr>
      <w:r>
        <w:rPr>
          <w:rFonts w:hint="eastAsia" w:ascii="宋体" w:hAnsi="宋体" w:eastAsia="宋体" w:cs="宋体"/>
          <w:b/>
          <w:color w:val="auto"/>
          <w:spacing w:val="20"/>
          <w:kern w:val="0"/>
          <w:sz w:val="32"/>
          <w:szCs w:val="32"/>
          <w:highlight w:val="none"/>
        </w:rPr>
        <w:t>项目编号：</w:t>
      </w:r>
      <w:r>
        <w:rPr>
          <w:rFonts w:hint="eastAsia" w:ascii="宋体" w:hAnsi="宋体" w:eastAsia="宋体" w:cs="宋体"/>
          <w:b/>
          <w:color w:val="auto"/>
          <w:spacing w:val="20"/>
          <w:kern w:val="0"/>
          <w:sz w:val="32"/>
          <w:szCs w:val="32"/>
          <w:highlight w:val="none"/>
          <w:u w:val="single"/>
          <w:lang w:eastAsia="zh-CN"/>
        </w:rPr>
        <w:t>CZCDC-BGS-2026002</w:t>
      </w:r>
    </w:p>
    <w:p w14:paraId="3ECD9FA6">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lang w:val="en-US"/>
        </w:rPr>
      </w:pPr>
      <w:r>
        <w:rPr>
          <w:rFonts w:hint="eastAsia" w:ascii="宋体" w:hAnsi="宋体" w:eastAsia="宋体" w:cs="宋体"/>
          <w:b/>
          <w:color w:val="auto"/>
          <w:spacing w:val="20"/>
          <w:kern w:val="0"/>
          <w:sz w:val="32"/>
          <w:szCs w:val="32"/>
          <w:highlight w:val="none"/>
        </w:rPr>
        <w:t>采 购 人：</w:t>
      </w:r>
      <w:r>
        <w:rPr>
          <w:rFonts w:hint="eastAsia" w:ascii="宋体" w:hAnsi="宋体" w:eastAsia="宋体" w:cs="宋体"/>
          <w:b/>
          <w:color w:val="auto"/>
          <w:spacing w:val="20"/>
          <w:kern w:val="0"/>
          <w:sz w:val="32"/>
          <w:szCs w:val="32"/>
          <w:highlight w:val="none"/>
          <w:u w:val="single"/>
          <w:lang w:val="en-US" w:eastAsia="zh-CN"/>
        </w:rPr>
        <w:t>滁州市疾病预防控制中心</w:t>
      </w:r>
    </w:p>
    <w:p w14:paraId="7736FB99">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20"/>
          <w:kern w:val="0"/>
          <w:sz w:val="32"/>
          <w:szCs w:val="32"/>
          <w:highlight w:val="none"/>
          <w:lang w:val="en-US"/>
        </w:rPr>
      </w:pPr>
      <w:r>
        <w:rPr>
          <w:rFonts w:hint="eastAsia" w:ascii="宋体" w:hAnsi="宋体" w:eastAsia="宋体" w:cs="宋体"/>
          <w:b/>
          <w:color w:val="auto"/>
          <w:spacing w:val="20"/>
          <w:kern w:val="0"/>
          <w:sz w:val="32"/>
          <w:szCs w:val="32"/>
          <w:highlight w:val="none"/>
        </w:rPr>
        <w:t>采购代理机构：</w:t>
      </w:r>
      <w:r>
        <w:rPr>
          <w:rFonts w:hint="eastAsia" w:ascii="宋体" w:hAnsi="宋体" w:eastAsia="宋体" w:cs="宋体"/>
          <w:b/>
          <w:color w:val="auto"/>
          <w:spacing w:val="20"/>
          <w:kern w:val="0"/>
          <w:sz w:val="32"/>
          <w:szCs w:val="32"/>
          <w:highlight w:val="none"/>
          <w:u w:val="single"/>
          <w:lang w:val="en-US" w:eastAsia="zh-CN"/>
        </w:rPr>
        <w:t>安徽泓樾工程项目管理有限公司</w:t>
      </w:r>
    </w:p>
    <w:p w14:paraId="1CEBE927">
      <w:pPr>
        <w:tabs>
          <w:tab w:val="left" w:pos="2410"/>
        </w:tabs>
        <w:autoSpaceDE w:val="0"/>
        <w:autoSpaceDN w:val="0"/>
        <w:adjustRightInd w:val="0"/>
        <w:snapToGrid w:val="0"/>
        <w:spacing w:line="360" w:lineRule="auto"/>
        <w:ind w:firstLine="723" w:firstLineChars="200"/>
        <w:jc w:val="center"/>
        <w:rPr>
          <w:rFonts w:hint="eastAsia" w:ascii="宋体" w:hAnsi="宋体" w:eastAsia="宋体" w:cs="宋体"/>
          <w:b/>
          <w:color w:val="auto"/>
          <w:spacing w:val="20"/>
          <w:kern w:val="0"/>
          <w:sz w:val="32"/>
          <w:szCs w:val="32"/>
          <w:highlight w:val="none"/>
          <w:lang w:val="en-US" w:eastAsia="zh-CN"/>
        </w:rPr>
      </w:pPr>
    </w:p>
    <w:p w14:paraId="61CF2BB0">
      <w:pPr>
        <w:tabs>
          <w:tab w:val="left" w:pos="2410"/>
        </w:tabs>
        <w:autoSpaceDE w:val="0"/>
        <w:autoSpaceDN w:val="0"/>
        <w:adjustRightInd w:val="0"/>
        <w:snapToGrid w:val="0"/>
        <w:spacing w:line="360" w:lineRule="auto"/>
        <w:jc w:val="center"/>
        <w:rPr>
          <w:rFonts w:hint="eastAsia" w:ascii="宋体" w:hAnsi="宋体" w:eastAsia="宋体" w:cs="宋体"/>
          <w:b/>
          <w:color w:val="auto"/>
          <w:spacing w:val="20"/>
          <w:kern w:val="0"/>
          <w:sz w:val="32"/>
          <w:szCs w:val="32"/>
          <w:highlight w:val="none"/>
          <w:lang w:val="en-US" w:eastAsia="zh-CN"/>
        </w:rPr>
      </w:pPr>
      <w:r>
        <w:rPr>
          <w:rFonts w:hint="eastAsia" w:ascii="宋体" w:hAnsi="宋体" w:eastAsia="宋体" w:cs="宋体"/>
          <w:b/>
          <w:color w:val="auto"/>
          <w:spacing w:val="20"/>
          <w:kern w:val="0"/>
          <w:sz w:val="32"/>
          <w:szCs w:val="32"/>
          <w:highlight w:val="none"/>
          <w:lang w:val="en-US" w:eastAsia="zh-CN"/>
        </w:rPr>
        <w:t>2026年9月</w:t>
      </w:r>
    </w:p>
    <w:p w14:paraId="685AECAD">
      <w:pPr>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07791B2B">
      <w:pPr>
        <w:tabs>
          <w:tab w:val="left" w:pos="2410"/>
        </w:tabs>
        <w:autoSpaceDE w:val="0"/>
        <w:autoSpaceDN w:val="0"/>
        <w:adjustRightInd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目  录</w:t>
      </w:r>
    </w:p>
    <w:p w14:paraId="45F048E7">
      <w:pPr>
        <w:pStyle w:val="17"/>
        <w:tabs>
          <w:tab w:val="right" w:leader="dot" w:pos="8306"/>
        </w:tabs>
        <w:spacing w:line="480" w:lineRule="auto"/>
        <w:rPr>
          <w:rFonts w:hint="eastAsia" w:ascii="宋体" w:hAnsi="宋体" w:eastAsia="宋体" w:cs="宋体"/>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_Toc23443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第一章  投标邀请</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3</w:t>
      </w:r>
      <w:r>
        <w:rPr>
          <w:rFonts w:hint="eastAsia" w:ascii="宋体" w:hAnsi="宋体" w:eastAsia="宋体" w:cs="宋体"/>
          <w:color w:val="auto"/>
          <w:szCs w:val="24"/>
          <w:highlight w:val="none"/>
        </w:rPr>
        <w:fldChar w:fldCharType="end"/>
      </w:r>
    </w:p>
    <w:p w14:paraId="014915B6">
      <w:pPr>
        <w:pStyle w:val="17"/>
        <w:tabs>
          <w:tab w:val="right" w:leader="dot" w:pos="8306"/>
        </w:tabs>
        <w:spacing w:line="480" w:lineRule="auto"/>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_Toc31935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第二章  投标人须知</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5</w:t>
      </w:r>
      <w:r>
        <w:rPr>
          <w:rFonts w:hint="eastAsia" w:ascii="宋体" w:hAnsi="宋体" w:eastAsia="宋体" w:cs="宋体"/>
          <w:color w:val="auto"/>
          <w:szCs w:val="24"/>
          <w:highlight w:val="none"/>
        </w:rPr>
        <w:fldChar w:fldCharType="end"/>
      </w:r>
    </w:p>
    <w:p w14:paraId="1F0C1596">
      <w:pPr>
        <w:pStyle w:val="17"/>
        <w:tabs>
          <w:tab w:val="right" w:leader="dot" w:pos="8306"/>
        </w:tabs>
        <w:spacing w:line="480" w:lineRule="auto"/>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_Toc10891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第三章  采购需求</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7</w:t>
      </w:r>
    </w:p>
    <w:p w14:paraId="2716B4CC">
      <w:pPr>
        <w:pStyle w:val="17"/>
        <w:tabs>
          <w:tab w:val="right" w:leader="dot" w:pos="8306"/>
        </w:tabs>
        <w:spacing w:line="480" w:lineRule="auto"/>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_Toc16417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第四章  评标方法和标准（最低评标价法）</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1</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8</w:t>
      </w:r>
    </w:p>
    <w:p w14:paraId="681AF7DB">
      <w:pPr>
        <w:pStyle w:val="17"/>
        <w:tabs>
          <w:tab w:val="right" w:leader="dot" w:pos="8306"/>
        </w:tabs>
        <w:spacing w:line="480" w:lineRule="auto"/>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_Toc4682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第五章  合同示范文本</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0</w:t>
      </w:r>
    </w:p>
    <w:p w14:paraId="457C4F25">
      <w:pPr>
        <w:pStyle w:val="17"/>
        <w:tabs>
          <w:tab w:val="right" w:leader="dot" w:pos="8306"/>
        </w:tabs>
        <w:spacing w:line="480" w:lineRule="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_Toc22492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第六章  投标文件格式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2</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8</w:t>
      </w:r>
    </w:p>
    <w:p w14:paraId="71ECE1B1">
      <w:pPr>
        <w:pStyle w:val="17"/>
        <w:tabs>
          <w:tab w:val="right" w:leader="dot" w:pos="8306"/>
        </w:tabs>
        <w:spacing w:line="480" w:lineRule="auto"/>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_Toc22492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章  政府采购供应商询问函和质疑函范本</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3</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5</w:t>
      </w:r>
    </w:p>
    <w:p w14:paraId="0E0CF869">
      <w:pPr>
        <w:pStyle w:val="17"/>
        <w:tabs>
          <w:tab w:val="right" w:leader="dot" w:pos="8306"/>
        </w:tabs>
        <w:rPr>
          <w:rFonts w:hint="eastAsia" w:ascii="宋体" w:hAnsi="宋体" w:eastAsia="宋体" w:cs="宋体"/>
          <w:color w:val="auto"/>
          <w:highlight w:val="none"/>
          <w:lang w:val="en-US" w:eastAsia="zh-CN"/>
        </w:rPr>
      </w:pPr>
    </w:p>
    <w:p w14:paraId="6539E5AA">
      <w:pPr>
        <w:spacing w:line="360" w:lineRule="auto"/>
        <w:rPr>
          <w:rFonts w:hint="eastAsia" w:ascii="宋体" w:hAnsi="宋体" w:eastAsia="宋体" w:cs="宋体"/>
          <w:color w:val="auto"/>
          <w:highlight w:val="none"/>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szCs w:val="24"/>
          <w:highlight w:val="none"/>
        </w:rPr>
        <w:fldChar w:fldCharType="end"/>
      </w:r>
    </w:p>
    <w:p w14:paraId="798B8536">
      <w:pPr>
        <w:spacing w:line="360" w:lineRule="auto"/>
        <w:jc w:val="center"/>
        <w:outlineLvl w:val="0"/>
        <w:rPr>
          <w:rFonts w:hint="eastAsia" w:ascii="宋体" w:hAnsi="宋体" w:eastAsia="宋体" w:cs="宋体"/>
          <w:b/>
          <w:color w:val="auto"/>
          <w:sz w:val="28"/>
          <w:highlight w:val="none"/>
        </w:rPr>
      </w:pPr>
      <w:bookmarkStart w:id="1" w:name="_Toc23443"/>
      <w:r>
        <w:rPr>
          <w:rFonts w:hint="eastAsia" w:ascii="宋体" w:hAnsi="宋体" w:eastAsia="宋体" w:cs="宋体"/>
          <w:b/>
          <w:color w:val="auto"/>
          <w:sz w:val="28"/>
          <w:highlight w:val="none"/>
          <w:lang w:val="en-US" w:eastAsia="zh-CN"/>
        </w:rPr>
        <w:t xml:space="preserve">第一章 </w:t>
      </w:r>
      <w:r>
        <w:rPr>
          <w:rFonts w:hint="eastAsia" w:ascii="宋体" w:hAnsi="宋体" w:eastAsia="宋体" w:cs="宋体"/>
          <w:b/>
          <w:color w:val="auto"/>
          <w:sz w:val="28"/>
          <w:highlight w:val="none"/>
        </w:rPr>
        <w:t>投标邀请</w:t>
      </w:r>
      <w:bookmarkEnd w:id="1"/>
    </w:p>
    <w:p w14:paraId="632CE9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项目概况</w:t>
      </w:r>
    </w:p>
    <w:p w14:paraId="5F78BB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2026年滁州市卫生监督在线监测平台运维项目</w:t>
      </w:r>
      <w:r>
        <w:rPr>
          <w:rFonts w:hint="eastAsia" w:ascii="微软雅黑" w:hAnsi="微软雅黑" w:eastAsia="微软雅黑" w:cs="微软雅黑"/>
          <w:i w:val="0"/>
          <w:iCs w:val="0"/>
          <w:caps w:val="0"/>
          <w:color w:val="auto"/>
          <w:spacing w:val="0"/>
          <w:kern w:val="0"/>
          <w:sz w:val="21"/>
          <w:szCs w:val="21"/>
          <w:highlight w:val="none"/>
          <w:lang w:val="en-US" w:eastAsia="zh-CN" w:bidi="ar"/>
        </w:rPr>
        <w:t>招标项目的潜在投标人应在</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滁州市疾控中心官网</w:t>
      </w:r>
      <w:r>
        <w:rPr>
          <w:rFonts w:hint="eastAsia" w:ascii="微软雅黑" w:hAnsi="微软雅黑" w:eastAsia="微软雅黑" w:cs="微软雅黑"/>
          <w:i w:val="0"/>
          <w:iCs w:val="0"/>
          <w:caps w:val="0"/>
          <w:color w:val="auto"/>
          <w:spacing w:val="0"/>
          <w:kern w:val="0"/>
          <w:sz w:val="21"/>
          <w:szCs w:val="21"/>
          <w:highlight w:val="none"/>
          <w:lang w:val="en-US" w:eastAsia="zh-CN" w:bidi="ar"/>
        </w:rPr>
        <w:t>获取招标文件，并于</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2026年9月17日10点00分</w:t>
      </w:r>
      <w:r>
        <w:rPr>
          <w:rFonts w:hint="eastAsia" w:ascii="微软雅黑" w:hAnsi="微软雅黑" w:eastAsia="微软雅黑" w:cs="微软雅黑"/>
          <w:i w:val="0"/>
          <w:iCs w:val="0"/>
          <w:caps w:val="0"/>
          <w:color w:val="auto"/>
          <w:spacing w:val="0"/>
          <w:kern w:val="0"/>
          <w:sz w:val="21"/>
          <w:szCs w:val="21"/>
          <w:highlight w:val="none"/>
          <w:lang w:val="en-US" w:eastAsia="zh-CN" w:bidi="ar"/>
        </w:rPr>
        <w:t>（北京时间）前递交投标文件。</w:t>
      </w:r>
    </w:p>
    <w:p w14:paraId="69E1F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2"/>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一、项目基本情况</w:t>
      </w:r>
    </w:p>
    <w:p w14:paraId="528946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项目编号：</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CZCDC-BGS-2026002</w:t>
      </w:r>
    </w:p>
    <w:p w14:paraId="55A235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项目名称：</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2026年滁州市卫生监督在线监测平台运维项目</w:t>
      </w:r>
    </w:p>
    <w:p w14:paraId="5D6D85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预算金额：</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12万元</w:t>
      </w:r>
    </w:p>
    <w:p w14:paraId="10DFD7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最高限价：</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本项目报价设置最高限价为12万元，投标人报价总价高于此报价的，其投标文件按无效标处理（小于等于此报价的为有效报价）</w:t>
      </w:r>
    </w:p>
    <w:p w14:paraId="39A0CF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rFonts w:hint="default"/>
          <w:color w:val="auto"/>
          <w:highlight w:val="none"/>
          <w:lang w:val="en-US"/>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采购需求：</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2026年滁州市卫生监督在线监测平台运维项目，具体详见项目需求</w:t>
      </w:r>
    </w:p>
    <w:p w14:paraId="49AC5C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合同履行期限：</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一年</w:t>
      </w:r>
    </w:p>
    <w:p w14:paraId="0DE6E6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本项目不接受联合体投标。</w:t>
      </w:r>
    </w:p>
    <w:p w14:paraId="1952D7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二、申请人的资格要求</w:t>
      </w:r>
    </w:p>
    <w:p w14:paraId="774A7C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1.满足《中华人民共和国政府采购法》第二十二条规定；</w:t>
      </w:r>
    </w:p>
    <w:p w14:paraId="412A44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2.落实政府采购政策需满足的资格要求：</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无</w:t>
      </w:r>
      <w:r>
        <w:rPr>
          <w:rFonts w:hint="eastAsia" w:ascii="微软雅黑" w:hAnsi="微软雅黑" w:eastAsia="微软雅黑" w:cs="微软雅黑"/>
          <w:i w:val="0"/>
          <w:iCs w:val="0"/>
          <w:caps w:val="0"/>
          <w:color w:val="auto"/>
          <w:spacing w:val="0"/>
          <w:kern w:val="0"/>
          <w:sz w:val="21"/>
          <w:szCs w:val="21"/>
          <w:highlight w:val="none"/>
          <w:lang w:val="en-US" w:eastAsia="zh-CN" w:bidi="ar"/>
        </w:rPr>
        <w:t>；</w:t>
      </w:r>
    </w:p>
    <w:p w14:paraId="5E8D87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3.本项目的特定资格要求：</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无；</w:t>
      </w:r>
    </w:p>
    <w:p w14:paraId="574877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4.业绩要求：</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投标人自2023年至今，至少具有一项此类运维业绩；</w:t>
      </w:r>
    </w:p>
    <w:p w14:paraId="10F749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5.信誉要求：投标人不得存在以下情形：</w:t>
      </w:r>
    </w:p>
    <w:p w14:paraId="33020E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①投标人被人民法院列入失信被执行人的；</w:t>
      </w:r>
    </w:p>
    <w:p w14:paraId="12A27E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②投标人或其法定代表人或拟派项目经理（项目负责人）前三年有行贿犯罪行为的；</w:t>
      </w:r>
    </w:p>
    <w:p w14:paraId="4CC07E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③投标人被市场监督管理部门列入经营异常名录或者严重违法企业名单，且未被移除的；</w:t>
      </w:r>
    </w:p>
    <w:p w14:paraId="3E9B59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④投标人被税务部门列入重大税收违法案件当事人的；</w:t>
      </w:r>
    </w:p>
    <w:p w14:paraId="7D7B19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⑤投标人被政府采购监管部门列入政府采购严重违法失信行为记录名单的；</w:t>
      </w:r>
    </w:p>
    <w:p w14:paraId="7FDC7E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⑥在“信用中国”网站上披露仍在公示期的严重失信行为的。</w:t>
      </w:r>
    </w:p>
    <w:p w14:paraId="2BE44F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6.投标人所属分公司、办事处等分支机构存在第5款信誉要求①-⑥项 情形之一的，接受投标人参加本项目。</w:t>
      </w:r>
    </w:p>
    <w:p w14:paraId="02C04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备注：第</w:t>
      </w:r>
      <w:r>
        <w:rPr>
          <w:rFonts w:hint="eastAsia" w:ascii="微软雅黑" w:hAnsi="微软雅黑" w:eastAsia="微软雅黑" w:cs="微软雅黑"/>
          <w:i w:val="0"/>
          <w:iCs w:val="0"/>
          <w:caps w:val="0"/>
          <w:color w:val="auto"/>
          <w:spacing w:val="0"/>
          <w:kern w:val="0"/>
          <w:sz w:val="24"/>
          <w:szCs w:val="24"/>
          <w:highlight w:val="none"/>
          <w:lang w:val="en-US" w:eastAsia="zh-CN" w:bidi="ar"/>
        </w:rPr>
        <w:t> </w:t>
      </w:r>
      <w:r>
        <w:rPr>
          <w:rFonts w:hint="eastAsia" w:ascii="微软雅黑" w:hAnsi="微软雅黑" w:eastAsia="微软雅黑" w:cs="微软雅黑"/>
          <w:i w:val="0"/>
          <w:iCs w:val="0"/>
          <w:caps w:val="0"/>
          <w:color w:val="auto"/>
          <w:spacing w:val="0"/>
          <w:kern w:val="0"/>
          <w:sz w:val="21"/>
          <w:szCs w:val="21"/>
          <w:highlight w:val="none"/>
          <w:lang w:val="en-US" w:eastAsia="zh-CN" w:bidi="ar"/>
        </w:rPr>
        <w:t>5、6 条自行查询或承诺。</w:t>
      </w:r>
    </w:p>
    <w:p w14:paraId="121FCF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2"/>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三、获取招标文件</w:t>
      </w:r>
    </w:p>
    <w:p w14:paraId="3DA5EC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时间：</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2026年9月9</w:t>
      </w:r>
      <w:r>
        <w:rPr>
          <w:rFonts w:hint="eastAsia" w:ascii="微软雅黑" w:hAnsi="微软雅黑" w:eastAsia="微软雅黑" w:cs="微软雅黑"/>
          <w:i w:val="0"/>
          <w:iCs w:val="0"/>
          <w:caps w:val="0"/>
          <w:color w:val="auto"/>
          <w:spacing w:val="0"/>
          <w:kern w:val="0"/>
          <w:sz w:val="21"/>
          <w:szCs w:val="21"/>
          <w:highlight w:val="none"/>
          <w:lang w:val="en-US" w:eastAsia="zh-CN" w:bidi="ar"/>
        </w:rPr>
        <w:t>日至</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2026年9月1</w:t>
      </w:r>
      <w:bookmarkStart w:id="180" w:name="_GoBack"/>
      <w:bookmarkEnd w:id="180"/>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7日10点00分</w:t>
      </w:r>
      <w:r>
        <w:rPr>
          <w:rFonts w:hint="eastAsia" w:ascii="微软雅黑" w:hAnsi="微软雅黑" w:eastAsia="微软雅黑" w:cs="微软雅黑"/>
          <w:i w:val="0"/>
          <w:iCs w:val="0"/>
          <w:caps w:val="0"/>
          <w:color w:val="auto"/>
          <w:spacing w:val="0"/>
          <w:kern w:val="0"/>
          <w:sz w:val="21"/>
          <w:szCs w:val="21"/>
          <w:highlight w:val="none"/>
          <w:lang w:val="en-US" w:eastAsia="zh-CN" w:bidi="ar"/>
        </w:rPr>
        <w:t>前</w:t>
      </w:r>
    </w:p>
    <w:p w14:paraId="45C624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地点：</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滁州市疾控中心官网</w:t>
      </w:r>
    </w:p>
    <w:p w14:paraId="018137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方式：</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网上自行下载</w:t>
      </w:r>
    </w:p>
    <w:p w14:paraId="611384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四、提交投标文件截止时间、开标时间和地点</w:t>
      </w:r>
    </w:p>
    <w:p w14:paraId="6BE532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投标截止时间：</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2026年9月17日10点00分</w:t>
      </w:r>
      <w:r>
        <w:rPr>
          <w:rFonts w:hint="eastAsia" w:ascii="微软雅黑" w:hAnsi="微软雅黑" w:eastAsia="微软雅黑" w:cs="微软雅黑"/>
          <w:i w:val="0"/>
          <w:iCs w:val="0"/>
          <w:caps w:val="0"/>
          <w:color w:val="auto"/>
          <w:spacing w:val="0"/>
          <w:kern w:val="0"/>
          <w:sz w:val="21"/>
          <w:szCs w:val="21"/>
          <w:highlight w:val="none"/>
          <w:lang w:val="en-US" w:eastAsia="zh-CN" w:bidi="ar"/>
        </w:rPr>
        <w:t>（北京时间）</w:t>
      </w:r>
    </w:p>
    <w:p w14:paraId="07F2A0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rFonts w:hint="default" w:ascii="微软雅黑" w:hAnsi="微软雅黑" w:eastAsia="微软雅黑" w:cs="微软雅黑"/>
          <w:i w:val="0"/>
          <w:iCs w:val="0"/>
          <w:caps w:val="0"/>
          <w:color w:val="auto"/>
          <w:spacing w:val="0"/>
          <w:kern w:val="0"/>
          <w:sz w:val="21"/>
          <w:szCs w:val="21"/>
          <w:highlight w:val="none"/>
          <w:lang w:val="en-US" w:eastAsia="zh-CN" w:bidi="ar"/>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地点：滁州市疾病预防控制中心综合业务科</w:t>
      </w:r>
    </w:p>
    <w:p w14:paraId="138FB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注：各投标人可以采用直接送达或邮寄的方式，递交时间以直接送达或快递送达的时间为准，逾期不予接收（邮寄/现场投标地址：安徽省滁州市会峰西路669-1号，滁州市疾病预防控制中心三楼，综合业务科，联系人：张勇，联系电话：18019819099）</w:t>
      </w:r>
    </w:p>
    <w:p w14:paraId="6C26C6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五、公告期限</w:t>
      </w:r>
    </w:p>
    <w:p w14:paraId="01459C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自本公告发布之日起5个工作日。</w:t>
      </w:r>
    </w:p>
    <w:p w14:paraId="74D597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六、其他补充事宜</w:t>
      </w:r>
    </w:p>
    <w:p w14:paraId="3035B8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无</w:t>
      </w:r>
    </w:p>
    <w:p w14:paraId="707231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b/>
          <w:bCs/>
          <w:i w:val="0"/>
          <w:iCs w:val="0"/>
          <w:caps w:val="0"/>
          <w:color w:val="auto"/>
          <w:spacing w:val="0"/>
          <w:kern w:val="0"/>
          <w:sz w:val="21"/>
          <w:szCs w:val="21"/>
          <w:highlight w:val="none"/>
          <w:lang w:val="en-US" w:eastAsia="zh-CN" w:bidi="ar"/>
        </w:rPr>
        <w:t>七、对本次招标提出询问，请按以下方式联系</w:t>
      </w:r>
    </w:p>
    <w:p w14:paraId="6649B1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1.采购人信息</w:t>
      </w:r>
    </w:p>
    <w:p w14:paraId="3A12EA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名  称：</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滁州市疾病预防控制中心</w:t>
      </w:r>
    </w:p>
    <w:p w14:paraId="298732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地  址：</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滁州市会峰西路669-1号</w:t>
      </w:r>
    </w:p>
    <w:p w14:paraId="17448B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联系人：</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综合业务科</w:t>
      </w:r>
    </w:p>
    <w:p w14:paraId="0BF865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rFonts w:hint="default"/>
          <w:color w:val="auto"/>
          <w:highlight w:val="none"/>
          <w:lang w:val="en-US"/>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联系方式：</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0550-3519356</w:t>
      </w:r>
    </w:p>
    <w:p w14:paraId="47403B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7"/>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2.采购代理机构信息</w:t>
      </w:r>
    </w:p>
    <w:p w14:paraId="266B42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rFonts w:hint="default"/>
          <w:color w:val="auto"/>
          <w:highlight w:val="none"/>
          <w:lang w:val="en-US"/>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名  称：</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安徽泓樾工程项目管理有限公司</w:t>
      </w:r>
    </w:p>
    <w:p w14:paraId="4D62EC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rFonts w:hint="default"/>
          <w:color w:val="auto"/>
          <w:highlight w:val="none"/>
          <w:lang w:val="en-US"/>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地  址：</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滁州市南谯区港汇中心B座10楼</w:t>
      </w:r>
    </w:p>
    <w:p w14:paraId="1F4C9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jc w:val="left"/>
        <w:rPr>
          <w:color w:val="auto"/>
          <w:highlight w:val="none"/>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联系人：</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尹鑫</w:t>
      </w:r>
    </w:p>
    <w:p w14:paraId="1666CF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firstLineChars="200"/>
        <w:jc w:val="left"/>
        <w:rPr>
          <w:rFonts w:hint="default"/>
          <w:color w:val="auto"/>
          <w:highlight w:val="none"/>
          <w:lang w:val="en-US"/>
        </w:rPr>
      </w:pPr>
      <w:r>
        <w:rPr>
          <w:rFonts w:hint="eastAsia" w:ascii="微软雅黑" w:hAnsi="微软雅黑" w:eastAsia="微软雅黑" w:cs="微软雅黑"/>
          <w:i w:val="0"/>
          <w:iCs w:val="0"/>
          <w:caps w:val="0"/>
          <w:color w:val="auto"/>
          <w:spacing w:val="0"/>
          <w:kern w:val="0"/>
          <w:sz w:val="21"/>
          <w:szCs w:val="21"/>
          <w:highlight w:val="none"/>
          <w:lang w:val="en-US" w:eastAsia="zh-CN" w:bidi="ar"/>
        </w:rPr>
        <w:t>联系方式：</w:t>
      </w:r>
      <w:r>
        <w:rPr>
          <w:rFonts w:hint="eastAsia" w:ascii="微软雅黑" w:hAnsi="微软雅黑" w:eastAsia="微软雅黑" w:cs="微软雅黑"/>
          <w:i w:val="0"/>
          <w:iCs w:val="0"/>
          <w:caps w:val="0"/>
          <w:color w:val="auto"/>
          <w:spacing w:val="0"/>
          <w:kern w:val="0"/>
          <w:sz w:val="21"/>
          <w:szCs w:val="21"/>
          <w:highlight w:val="none"/>
          <w:u w:val="single"/>
          <w:lang w:val="en-US" w:eastAsia="zh-CN" w:bidi="ar"/>
        </w:rPr>
        <w:t>13083326075</w:t>
      </w:r>
    </w:p>
    <w:p w14:paraId="7D72CDF4">
      <w:pPr>
        <w:widowControl/>
        <w:jc w:val="left"/>
        <w:rPr>
          <w:rFonts w:hint="eastAsia" w:ascii="宋体" w:hAnsi="宋体" w:eastAsia="宋体" w:cs="宋体"/>
          <w:color w:val="auto"/>
          <w:sz w:val="24"/>
          <w:szCs w:val="18"/>
          <w:highlight w:val="none"/>
        </w:rPr>
      </w:pPr>
      <w:r>
        <w:rPr>
          <w:rFonts w:hint="eastAsia" w:ascii="宋体" w:hAnsi="宋体" w:eastAsia="宋体" w:cs="宋体"/>
          <w:color w:val="auto"/>
          <w:sz w:val="24"/>
          <w:szCs w:val="18"/>
          <w:highlight w:val="none"/>
        </w:rPr>
        <w:br w:type="page"/>
      </w:r>
    </w:p>
    <w:p w14:paraId="2FA36E1C">
      <w:pPr>
        <w:spacing w:line="360" w:lineRule="auto"/>
        <w:jc w:val="center"/>
        <w:outlineLvl w:val="0"/>
        <w:rPr>
          <w:rFonts w:hint="eastAsia" w:ascii="宋体" w:hAnsi="宋体" w:eastAsia="宋体" w:cs="宋体"/>
          <w:b/>
          <w:color w:val="auto"/>
          <w:sz w:val="28"/>
          <w:highlight w:val="none"/>
        </w:rPr>
      </w:pPr>
      <w:bookmarkStart w:id="2" w:name="_Toc31935"/>
      <w:r>
        <w:rPr>
          <w:rFonts w:hint="eastAsia" w:ascii="宋体" w:hAnsi="宋体" w:eastAsia="宋体" w:cs="宋体"/>
          <w:b/>
          <w:color w:val="auto"/>
          <w:sz w:val="28"/>
          <w:highlight w:val="none"/>
        </w:rPr>
        <w:t>第二章  投标人须知</w:t>
      </w:r>
      <w:bookmarkEnd w:id="2"/>
    </w:p>
    <w:p w14:paraId="1EED2853">
      <w:pPr>
        <w:spacing w:line="360" w:lineRule="auto"/>
        <w:jc w:val="center"/>
        <w:outlineLvl w:val="1"/>
        <w:rPr>
          <w:rFonts w:hint="eastAsia" w:ascii="宋体" w:hAnsi="宋体" w:eastAsia="宋体" w:cs="宋体"/>
          <w:b/>
          <w:color w:val="auto"/>
          <w:sz w:val="24"/>
          <w:highlight w:val="none"/>
        </w:rPr>
      </w:pPr>
      <w:bookmarkStart w:id="3" w:name="_Toc3114"/>
      <w:bookmarkStart w:id="4" w:name="_Toc7178"/>
      <w:r>
        <w:rPr>
          <w:rFonts w:hint="eastAsia" w:ascii="宋体" w:hAnsi="宋体" w:eastAsia="宋体" w:cs="宋体"/>
          <w:b/>
          <w:color w:val="auto"/>
          <w:sz w:val="24"/>
          <w:highlight w:val="none"/>
        </w:rPr>
        <w:t>一、投标人须知前附表</w:t>
      </w:r>
      <w:bookmarkEnd w:id="3"/>
      <w:bookmarkEnd w:id="4"/>
    </w:p>
    <w:p w14:paraId="02B5E420">
      <w:pPr>
        <w:spacing w:line="360" w:lineRule="auto"/>
        <w:ind w:firstLine="435"/>
        <w:rPr>
          <w:rFonts w:hint="eastAsia" w:ascii="宋体" w:hAnsi="宋体" w:eastAsia="宋体" w:cs="宋体"/>
          <w:color w:val="auto"/>
          <w:sz w:val="24"/>
          <w:szCs w:val="18"/>
          <w:highlight w:val="none"/>
        </w:rPr>
      </w:pPr>
      <w:r>
        <w:rPr>
          <w:rFonts w:hint="eastAsia" w:ascii="宋体" w:hAnsi="宋体" w:eastAsia="宋体" w:cs="宋体"/>
          <w:b/>
          <w:bCs/>
          <w:color w:val="auto"/>
          <w:sz w:val="24"/>
          <w:szCs w:val="18"/>
          <w:highlight w:val="none"/>
        </w:rPr>
        <w:t>注：</w:t>
      </w:r>
      <w:r>
        <w:rPr>
          <w:rFonts w:hint="eastAsia" w:ascii="宋体" w:hAnsi="宋体" w:eastAsia="宋体" w:cs="宋体"/>
          <w:color w:val="auto"/>
          <w:sz w:val="24"/>
          <w:szCs w:val="18"/>
          <w:highlight w:val="none"/>
        </w:rPr>
        <w:t>本表是本项目的具体要求，是对投标人须知的具体补充和修改，如有不一致，以本表为准。</w:t>
      </w:r>
    </w:p>
    <w:tbl>
      <w:tblPr>
        <w:tblStyle w:val="24"/>
        <w:tblW w:w="52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7"/>
        <w:gridCol w:w="1290"/>
        <w:gridCol w:w="8201"/>
      </w:tblGrid>
      <w:tr w14:paraId="26DC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6CF62EFF">
            <w:pPr>
              <w:pStyle w:val="32"/>
              <w:widowControl w:val="0"/>
              <w:spacing w:before="0" w:beforeAutospacing="0" w:after="0" w:afterAutospacing="0"/>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条款号</w:t>
            </w:r>
          </w:p>
        </w:tc>
        <w:tc>
          <w:tcPr>
            <w:tcW w:w="612" w:type="pct"/>
            <w:vAlign w:val="center"/>
          </w:tcPr>
          <w:p w14:paraId="1CA214A0">
            <w:pPr>
              <w:pStyle w:val="32"/>
              <w:widowControl w:val="0"/>
              <w:spacing w:before="0" w:beforeAutospacing="0" w:after="0" w:afterAutospacing="0"/>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条款名称</w:t>
            </w:r>
          </w:p>
        </w:tc>
        <w:tc>
          <w:tcPr>
            <w:tcW w:w="3891" w:type="pct"/>
            <w:vAlign w:val="center"/>
          </w:tcPr>
          <w:p w14:paraId="17C6ECB3">
            <w:pPr>
              <w:pStyle w:val="32"/>
              <w:widowControl w:val="0"/>
              <w:spacing w:before="0" w:beforeAutospacing="0" w:after="0" w:afterAutospacing="0"/>
              <w:rPr>
                <w:rFonts w:hint="eastAsia" w:ascii="宋体" w:hAnsi="宋体" w:eastAsia="宋体" w:cs="宋体"/>
                <w:bCs w:val="0"/>
                <w:color w:val="auto"/>
                <w:kern w:val="2"/>
                <w:sz w:val="24"/>
                <w:szCs w:val="20"/>
                <w:highlight w:val="none"/>
              </w:rPr>
            </w:pPr>
            <w:r>
              <w:rPr>
                <w:rFonts w:hint="eastAsia" w:ascii="宋体" w:hAnsi="宋体" w:eastAsia="宋体" w:cs="宋体"/>
                <w:bCs w:val="0"/>
                <w:color w:val="auto"/>
                <w:kern w:val="2"/>
                <w:sz w:val="24"/>
                <w:szCs w:val="20"/>
                <w:highlight w:val="none"/>
              </w:rPr>
              <w:t>内容、说明与要求</w:t>
            </w:r>
          </w:p>
        </w:tc>
      </w:tr>
      <w:tr w14:paraId="784A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10D3D48D">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5</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2</w:t>
            </w:r>
          </w:p>
        </w:tc>
        <w:tc>
          <w:tcPr>
            <w:tcW w:w="612" w:type="pct"/>
            <w:vAlign w:val="center"/>
          </w:tcPr>
          <w:p w14:paraId="1A58A27B">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rPr>
              <w:t>现场考察</w:t>
            </w:r>
            <w:r>
              <w:rPr>
                <w:rFonts w:hint="eastAsia" w:ascii="宋体" w:hAnsi="宋体" w:eastAsia="宋体" w:cs="宋体"/>
                <w:b w:val="0"/>
                <w:color w:val="auto"/>
                <w:sz w:val="24"/>
                <w:highlight w:val="none"/>
                <w:lang w:val="en-US" w:eastAsia="zh-CN"/>
              </w:rPr>
              <w:t>或标前答疑会</w:t>
            </w:r>
          </w:p>
        </w:tc>
        <w:tc>
          <w:tcPr>
            <w:tcW w:w="3891" w:type="pct"/>
            <w:vAlign w:val="center"/>
          </w:tcPr>
          <w:p w14:paraId="355F9F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szCs w:val="24"/>
                <w:highlight w:val="none"/>
                <w:lang w:eastAsia="zh-CN"/>
              </w:rPr>
              <w:t>☑</w:t>
            </w:r>
            <w:r>
              <w:rPr>
                <w:rFonts w:hint="eastAsia" w:ascii="宋体" w:hAnsi="宋体" w:eastAsia="宋体" w:cs="宋体"/>
                <w:color w:val="auto"/>
                <w:sz w:val="24"/>
                <w:highlight w:val="none"/>
              </w:rPr>
              <w:t>不组织</w:t>
            </w:r>
            <w:r>
              <w:rPr>
                <w:rFonts w:hint="eastAsia" w:ascii="宋体" w:hAnsi="宋体" w:eastAsia="宋体" w:cs="宋体"/>
                <w:color w:val="auto"/>
                <w:sz w:val="24"/>
                <w:highlight w:val="none"/>
                <w:lang w:val="en-US" w:eastAsia="zh-CN"/>
              </w:rPr>
              <w:t>或不召开</w:t>
            </w:r>
          </w:p>
          <w:p w14:paraId="542AF5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bCs/>
                <w:color w:val="auto"/>
                <w:sz w:val="24"/>
                <w:highlight w:val="none"/>
              </w:rPr>
              <w:t>统一组织</w:t>
            </w:r>
            <w:r>
              <w:rPr>
                <w:rFonts w:hint="eastAsia" w:ascii="宋体" w:hAnsi="宋体" w:eastAsia="宋体" w:cs="宋体"/>
                <w:bCs/>
                <w:color w:val="auto"/>
                <w:sz w:val="24"/>
                <w:highlight w:val="none"/>
                <w:lang w:val="en-US" w:eastAsia="zh-CN"/>
              </w:rPr>
              <w:t>或统一召开</w:t>
            </w:r>
          </w:p>
          <w:p w14:paraId="6A7C54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分</w:t>
            </w:r>
          </w:p>
          <w:p w14:paraId="59FBBB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w:t>
            </w:r>
          </w:p>
          <w:p w14:paraId="37FB55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w:t>
            </w:r>
          </w:p>
          <w:p w14:paraId="3E53C0F0">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color w:val="auto"/>
                <w:sz w:val="24"/>
                <w:highlight w:val="none"/>
              </w:rPr>
            </w:pPr>
            <w:r>
              <w:rPr>
                <w:rFonts w:hint="eastAsia" w:ascii="宋体" w:hAnsi="宋体" w:eastAsia="宋体" w:cs="宋体"/>
                <w:bCs w:val="0"/>
                <w:color w:val="auto"/>
                <w:sz w:val="24"/>
                <w:highlight w:val="none"/>
                <w:lang w:eastAsia="zh-CN"/>
              </w:rPr>
              <w:t>注：</w:t>
            </w:r>
            <w:r>
              <w:rPr>
                <w:rFonts w:hint="eastAsia" w:ascii="宋体" w:hAnsi="宋体" w:eastAsia="宋体" w:cs="宋体"/>
                <w:bCs w:val="0"/>
                <w:color w:val="auto"/>
                <w:sz w:val="24"/>
                <w:highlight w:val="none"/>
              </w:rPr>
              <w:t>如投标人未参加采购人统一组织的现场考察</w:t>
            </w:r>
            <w:r>
              <w:rPr>
                <w:rFonts w:hint="eastAsia" w:ascii="宋体" w:hAnsi="宋体" w:eastAsia="宋体" w:cs="宋体"/>
                <w:bCs w:val="0"/>
                <w:color w:val="auto"/>
                <w:sz w:val="24"/>
                <w:highlight w:val="none"/>
                <w:lang w:val="en-US" w:eastAsia="zh-CN"/>
              </w:rPr>
              <w:t>或采购人统一召开的标前答疑会</w:t>
            </w:r>
            <w:r>
              <w:rPr>
                <w:rFonts w:hint="eastAsia" w:ascii="宋体" w:hAnsi="宋体" w:eastAsia="宋体" w:cs="宋体"/>
                <w:bCs w:val="0"/>
                <w:color w:val="auto"/>
                <w:sz w:val="24"/>
                <w:highlight w:val="none"/>
              </w:rPr>
              <w:t>，视同放弃现场考察</w:t>
            </w:r>
            <w:r>
              <w:rPr>
                <w:rFonts w:hint="eastAsia" w:ascii="宋体" w:hAnsi="宋体" w:eastAsia="宋体" w:cs="宋体"/>
                <w:bCs w:val="0"/>
                <w:color w:val="auto"/>
                <w:sz w:val="24"/>
                <w:highlight w:val="none"/>
                <w:lang w:val="en-US" w:eastAsia="zh-CN"/>
              </w:rPr>
              <w:t>或标前答疑会</w:t>
            </w:r>
            <w:r>
              <w:rPr>
                <w:rFonts w:hint="eastAsia" w:ascii="宋体" w:hAnsi="宋体" w:eastAsia="宋体" w:cs="宋体"/>
                <w:bCs w:val="0"/>
                <w:color w:val="auto"/>
                <w:sz w:val="24"/>
                <w:highlight w:val="none"/>
              </w:rPr>
              <w:t>，由此引起的一切责任由投标人自行承担。</w:t>
            </w:r>
          </w:p>
        </w:tc>
      </w:tr>
      <w:tr w14:paraId="7578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3FAF453A">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6</w:t>
            </w:r>
            <w:r>
              <w:rPr>
                <w:rFonts w:hint="eastAsia" w:ascii="宋体" w:hAnsi="宋体" w:eastAsia="宋体" w:cs="宋体"/>
                <w:bCs/>
                <w:color w:val="auto"/>
                <w:kern w:val="2"/>
                <w:highlight w:val="none"/>
              </w:rPr>
              <w:t>.1</w:t>
            </w:r>
          </w:p>
        </w:tc>
        <w:tc>
          <w:tcPr>
            <w:tcW w:w="612" w:type="pct"/>
            <w:vAlign w:val="center"/>
          </w:tcPr>
          <w:p w14:paraId="0DC847CB">
            <w:pPr>
              <w:pStyle w:val="32"/>
              <w:widowControl w:val="0"/>
              <w:spacing w:before="0" w:beforeAutospacing="0" w:after="0" w:afterAutospacing="0"/>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网上询问截止时间</w:t>
            </w:r>
          </w:p>
        </w:tc>
        <w:tc>
          <w:tcPr>
            <w:tcW w:w="3891" w:type="pct"/>
            <w:vAlign w:val="center"/>
          </w:tcPr>
          <w:p w14:paraId="1C949E3E">
            <w:pPr>
              <w:pStyle w:val="32"/>
              <w:widowControl w:val="0"/>
              <w:spacing w:before="0" w:beforeAutospacing="0" w:after="0" w:afterAutospacing="0"/>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u w:val="single"/>
                <w:lang w:val="en-US" w:eastAsia="zh-CN"/>
              </w:rPr>
              <w:t>2026年9月14</w:t>
            </w:r>
            <w:r>
              <w:rPr>
                <w:rFonts w:hint="eastAsia" w:ascii="宋体" w:hAnsi="宋体" w:eastAsia="宋体" w:cs="宋体"/>
                <w:b w:val="0"/>
                <w:color w:val="auto"/>
                <w:sz w:val="24"/>
                <w:highlight w:val="none"/>
              </w:rPr>
              <w:t>日</w:t>
            </w:r>
            <w:r>
              <w:rPr>
                <w:rFonts w:hint="eastAsia" w:ascii="宋体" w:hAnsi="宋体" w:eastAsia="宋体" w:cs="宋体"/>
                <w:b w:val="0"/>
                <w:color w:val="auto"/>
                <w:sz w:val="24"/>
                <w:highlight w:val="none"/>
                <w:u w:val="single"/>
                <w:lang w:val="en-US" w:eastAsia="zh-CN"/>
              </w:rPr>
              <w:t>17</w:t>
            </w:r>
            <w:r>
              <w:rPr>
                <w:rFonts w:hint="eastAsia" w:ascii="宋体" w:hAnsi="宋体" w:eastAsia="宋体" w:cs="宋体"/>
                <w:b w:val="0"/>
                <w:color w:val="auto"/>
                <w:sz w:val="24"/>
                <w:highlight w:val="none"/>
              </w:rPr>
              <w:t>时</w:t>
            </w:r>
            <w:r>
              <w:rPr>
                <w:rFonts w:hint="eastAsia" w:ascii="宋体" w:hAnsi="宋体" w:eastAsia="宋体" w:cs="宋体"/>
                <w:b w:val="0"/>
                <w:color w:val="auto"/>
                <w:sz w:val="24"/>
                <w:highlight w:val="none"/>
                <w:u w:val="single"/>
                <w:lang w:val="en-US" w:eastAsia="zh-CN"/>
              </w:rPr>
              <w:t>00</w:t>
            </w:r>
            <w:r>
              <w:rPr>
                <w:rFonts w:hint="eastAsia" w:ascii="宋体" w:hAnsi="宋体" w:eastAsia="宋体" w:cs="宋体"/>
                <w:b w:val="0"/>
                <w:color w:val="auto"/>
                <w:sz w:val="24"/>
                <w:highlight w:val="none"/>
              </w:rPr>
              <w:t>分</w:t>
            </w:r>
          </w:p>
        </w:tc>
      </w:tr>
      <w:tr w14:paraId="372C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21CD7F9A">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7</w:t>
            </w:r>
            <w:r>
              <w:rPr>
                <w:rFonts w:hint="eastAsia" w:ascii="宋体" w:hAnsi="宋体" w:eastAsia="宋体" w:cs="宋体"/>
                <w:bCs/>
                <w:color w:val="auto"/>
                <w:kern w:val="2"/>
                <w:highlight w:val="none"/>
              </w:rPr>
              <w:t>.1</w:t>
            </w:r>
          </w:p>
        </w:tc>
        <w:tc>
          <w:tcPr>
            <w:tcW w:w="612" w:type="pct"/>
            <w:vAlign w:val="center"/>
          </w:tcPr>
          <w:p w14:paraId="4CFCE116">
            <w:pPr>
              <w:pStyle w:val="32"/>
              <w:widowControl w:val="0"/>
              <w:spacing w:before="0" w:beforeAutospacing="0" w:after="0" w:afterAutospacing="0"/>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包别划分</w:t>
            </w:r>
          </w:p>
        </w:tc>
        <w:tc>
          <w:tcPr>
            <w:tcW w:w="3891" w:type="pct"/>
            <w:vAlign w:val="center"/>
          </w:tcPr>
          <w:p w14:paraId="6900DCBA">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color w:val="auto"/>
                <w:sz w:val="24"/>
                <w:highlight w:val="none"/>
              </w:rPr>
              <w:t>不分包     □分为  个包</w:t>
            </w:r>
          </w:p>
          <w:p w14:paraId="3FA6F381">
            <w:pPr>
              <w:pStyle w:val="32"/>
              <w:widowControl w:val="0"/>
              <w:spacing w:before="0" w:beforeAutospacing="0" w:after="0" w:afterAutospacing="0"/>
              <w:jc w:val="both"/>
              <w:rPr>
                <w:rFonts w:hint="eastAsia" w:ascii="宋体" w:hAnsi="宋体" w:eastAsia="宋体" w:cs="宋体"/>
                <w:b w:val="0"/>
                <w:color w:val="auto"/>
                <w:sz w:val="24"/>
                <w:highlight w:val="none"/>
                <w:u w:val="single"/>
              </w:rPr>
            </w:pPr>
            <w:r>
              <w:rPr>
                <w:rFonts w:hint="eastAsia" w:ascii="宋体" w:hAnsi="宋体" w:eastAsia="宋体" w:cs="宋体"/>
                <w:b w:val="0"/>
                <w:color w:val="auto"/>
                <w:sz w:val="24"/>
                <w:highlight w:val="none"/>
              </w:rPr>
              <w:t>投标人对多个包进行投标的中标包数规定：</w:t>
            </w:r>
            <w:r>
              <w:rPr>
                <w:rFonts w:hint="eastAsia" w:ascii="宋体" w:hAnsi="宋体" w:eastAsia="宋体" w:cs="宋体"/>
                <w:b w:val="0"/>
                <w:bCs w:val="0"/>
                <w:color w:val="auto"/>
                <w:sz w:val="24"/>
                <w:szCs w:val="18"/>
                <w:highlight w:val="none"/>
                <w:u w:val="single"/>
              </w:rPr>
              <w:t xml:space="preserve">        </w:t>
            </w:r>
          </w:p>
        </w:tc>
      </w:tr>
      <w:tr w14:paraId="2928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496" w:type="pct"/>
            <w:vAlign w:val="center"/>
          </w:tcPr>
          <w:p w14:paraId="6DC3F7B1">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r>
              <w:rPr>
                <w:rFonts w:hint="eastAsia" w:ascii="宋体" w:hAnsi="宋体" w:eastAsia="宋体" w:cs="宋体"/>
                <w:bCs/>
                <w:color w:val="auto"/>
                <w:kern w:val="2"/>
                <w:highlight w:val="none"/>
                <w:lang w:val="en-US" w:eastAsia="zh-CN"/>
              </w:rPr>
              <w:t>0</w:t>
            </w:r>
            <w:r>
              <w:rPr>
                <w:rFonts w:hint="eastAsia" w:ascii="宋体" w:hAnsi="宋体" w:eastAsia="宋体" w:cs="宋体"/>
                <w:bCs/>
                <w:color w:val="auto"/>
                <w:kern w:val="2"/>
                <w:highlight w:val="none"/>
              </w:rPr>
              <w:t>.1</w:t>
            </w:r>
          </w:p>
        </w:tc>
        <w:tc>
          <w:tcPr>
            <w:tcW w:w="612" w:type="pct"/>
            <w:vAlign w:val="center"/>
          </w:tcPr>
          <w:p w14:paraId="739FEC8A">
            <w:pPr>
              <w:pStyle w:val="32"/>
              <w:widowControl w:val="0"/>
              <w:spacing w:before="0" w:beforeAutospacing="0" w:after="0" w:afterAutospacing="0" w:line="360" w:lineRule="auto"/>
              <w:jc w:val="left"/>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投标保证金</w:t>
            </w:r>
          </w:p>
        </w:tc>
        <w:tc>
          <w:tcPr>
            <w:tcW w:w="3891" w:type="pct"/>
            <w:vAlign w:val="center"/>
          </w:tcPr>
          <w:p w14:paraId="1BFA8CAF">
            <w:pPr>
              <w:spacing w:line="360" w:lineRule="auto"/>
              <w:rPr>
                <w:rFonts w:hint="eastAsia" w:ascii="宋体" w:hAnsi="宋体" w:eastAsia="宋体" w:cs="宋体"/>
                <w:color w:val="auto"/>
                <w:highlight w:val="none"/>
              </w:rPr>
            </w:pPr>
            <w:r>
              <w:rPr>
                <w:rFonts w:hint="eastAsia" w:ascii="宋体" w:hAnsi="宋体" w:eastAsia="宋体" w:cs="宋体"/>
                <w:bCs/>
                <w:color w:val="auto"/>
                <w:kern w:val="0"/>
                <w:sz w:val="24"/>
                <w:szCs w:val="28"/>
                <w:highlight w:val="none"/>
              </w:rPr>
              <w:t>不收取</w:t>
            </w:r>
          </w:p>
        </w:tc>
      </w:tr>
      <w:tr w14:paraId="6FA8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4ED92752">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r>
              <w:rPr>
                <w:rFonts w:hint="eastAsia" w:ascii="宋体" w:hAnsi="宋体" w:eastAsia="宋体" w:cs="宋体"/>
                <w:bCs/>
                <w:color w:val="auto"/>
                <w:kern w:val="2"/>
                <w:highlight w:val="none"/>
                <w:lang w:val="en-US" w:eastAsia="zh-CN"/>
              </w:rPr>
              <w:t>1</w:t>
            </w:r>
            <w:r>
              <w:rPr>
                <w:rFonts w:hint="eastAsia" w:ascii="宋体" w:hAnsi="宋体" w:eastAsia="宋体" w:cs="宋体"/>
                <w:bCs/>
                <w:color w:val="auto"/>
                <w:kern w:val="2"/>
                <w:highlight w:val="none"/>
              </w:rPr>
              <w:t>.1</w:t>
            </w:r>
          </w:p>
        </w:tc>
        <w:tc>
          <w:tcPr>
            <w:tcW w:w="612" w:type="pct"/>
            <w:vAlign w:val="center"/>
          </w:tcPr>
          <w:p w14:paraId="00F7B87B">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投标有效期</w:t>
            </w:r>
          </w:p>
        </w:tc>
        <w:tc>
          <w:tcPr>
            <w:tcW w:w="3891" w:type="pct"/>
            <w:vAlign w:val="center"/>
          </w:tcPr>
          <w:p w14:paraId="43E29C24">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u w:val="single"/>
                <w:lang w:val="en-US" w:eastAsia="zh-CN"/>
              </w:rPr>
              <w:t>60</w:t>
            </w:r>
            <w:r>
              <w:rPr>
                <w:rFonts w:hint="eastAsia" w:ascii="宋体" w:hAnsi="宋体" w:eastAsia="宋体" w:cs="宋体"/>
                <w:b w:val="0"/>
                <w:color w:val="auto"/>
                <w:sz w:val="24"/>
                <w:highlight w:val="none"/>
              </w:rPr>
              <w:t>日历日</w:t>
            </w:r>
          </w:p>
        </w:tc>
      </w:tr>
      <w:tr w14:paraId="12DD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336F02BD">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r>
              <w:rPr>
                <w:rFonts w:hint="eastAsia" w:ascii="宋体" w:hAnsi="宋体" w:eastAsia="宋体" w:cs="宋体"/>
                <w:bCs/>
                <w:color w:val="auto"/>
                <w:kern w:val="2"/>
                <w:highlight w:val="none"/>
                <w:lang w:val="en-US" w:eastAsia="zh-CN"/>
              </w:rPr>
              <w:t>4</w:t>
            </w:r>
            <w:r>
              <w:rPr>
                <w:rFonts w:hint="eastAsia" w:ascii="宋体" w:hAnsi="宋体" w:eastAsia="宋体" w:cs="宋体"/>
                <w:bCs/>
                <w:color w:val="auto"/>
                <w:kern w:val="2"/>
                <w:highlight w:val="none"/>
              </w:rPr>
              <w:t>.1</w:t>
            </w:r>
          </w:p>
        </w:tc>
        <w:tc>
          <w:tcPr>
            <w:tcW w:w="612" w:type="pct"/>
            <w:vAlign w:val="center"/>
          </w:tcPr>
          <w:p w14:paraId="0A32A12D">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资格审查</w:t>
            </w:r>
          </w:p>
        </w:tc>
        <w:tc>
          <w:tcPr>
            <w:tcW w:w="3891" w:type="pct"/>
            <w:vAlign w:val="center"/>
          </w:tcPr>
          <w:p w14:paraId="45E6257F">
            <w:pPr>
              <w:pStyle w:val="32"/>
              <w:widowControl w:val="0"/>
              <w:spacing w:before="0" w:beforeAutospacing="0" w:after="0" w:afterAutospacing="0" w:line="360" w:lineRule="auto"/>
              <w:jc w:val="both"/>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highlight w:val="none"/>
              </w:rPr>
              <w:t>采购人审查</w:t>
            </w:r>
          </w:p>
          <w:p w14:paraId="3A2035D9">
            <w:pPr>
              <w:pStyle w:val="32"/>
              <w:widowControl w:val="0"/>
              <w:spacing w:before="0" w:beforeAutospacing="0" w:after="0" w:afterAutospacing="0" w:line="360" w:lineRule="auto"/>
              <w:jc w:val="both"/>
              <w:rPr>
                <w:rFonts w:hint="eastAsia" w:ascii="宋体" w:hAnsi="宋体" w:eastAsia="宋体" w:cs="宋体"/>
                <w:b w:val="0"/>
                <w:color w:val="auto"/>
                <w:sz w:val="24"/>
                <w:highlight w:val="none"/>
                <w:u w:val="singl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highlight w:val="none"/>
              </w:rPr>
              <w:t>采购人出具委托函委托采购代理机构进行审查</w:t>
            </w:r>
          </w:p>
        </w:tc>
      </w:tr>
      <w:tr w14:paraId="1DE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7144B46A">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17</w:t>
            </w:r>
            <w:r>
              <w:rPr>
                <w:rFonts w:hint="eastAsia" w:ascii="宋体" w:hAnsi="宋体" w:eastAsia="宋体" w:cs="宋体"/>
                <w:bCs/>
                <w:color w:val="auto"/>
                <w:kern w:val="2"/>
                <w:highlight w:val="none"/>
              </w:rPr>
              <w:t>.2</w:t>
            </w:r>
          </w:p>
        </w:tc>
        <w:tc>
          <w:tcPr>
            <w:tcW w:w="612" w:type="pct"/>
            <w:vAlign w:val="center"/>
          </w:tcPr>
          <w:p w14:paraId="1677AFE4">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评标方法</w:t>
            </w:r>
          </w:p>
        </w:tc>
        <w:tc>
          <w:tcPr>
            <w:tcW w:w="3891" w:type="pct"/>
            <w:vAlign w:val="center"/>
          </w:tcPr>
          <w:p w14:paraId="45B98FA6">
            <w:pPr>
              <w:pStyle w:val="32"/>
              <w:widowControl w:val="0"/>
              <w:spacing w:before="0" w:beforeAutospacing="0" w:after="0" w:afterAutospacing="0" w:line="360" w:lineRule="auto"/>
              <w:jc w:val="both"/>
              <w:rPr>
                <w:rFonts w:hint="eastAsia" w:ascii="宋体" w:hAnsi="宋体" w:eastAsia="宋体" w:cs="宋体"/>
                <w:b w:val="0"/>
                <w:color w:val="auto"/>
                <w:sz w:val="24"/>
                <w:highlight w:val="none"/>
                <w:u w:val="none"/>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color w:val="auto"/>
                <w:sz w:val="24"/>
                <w:highlight w:val="none"/>
                <w:u w:val="none"/>
              </w:rPr>
              <w:t>最低评标价法</w:t>
            </w:r>
          </w:p>
          <w:p w14:paraId="5DBBDEF4">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bCs w:val="0"/>
                <w:color w:val="auto"/>
                <w:sz w:val="24"/>
                <w:szCs w:val="24"/>
                <w:highlight w:val="none"/>
                <w:u w:val="none"/>
                <w:lang w:eastAsia="zh-CN"/>
              </w:rPr>
              <w:t>□</w:t>
            </w:r>
            <w:r>
              <w:rPr>
                <w:rFonts w:hint="eastAsia" w:ascii="宋体" w:hAnsi="宋体" w:eastAsia="宋体" w:cs="宋体"/>
                <w:b w:val="0"/>
                <w:color w:val="auto"/>
                <w:sz w:val="24"/>
                <w:highlight w:val="none"/>
                <w:u w:val="none"/>
              </w:rPr>
              <w:t>综合评分法</w:t>
            </w:r>
          </w:p>
        </w:tc>
      </w:tr>
      <w:tr w14:paraId="476E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4A3A849A">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r>
              <w:rPr>
                <w:rFonts w:hint="eastAsia" w:ascii="宋体" w:hAnsi="宋体" w:eastAsia="宋体" w:cs="宋体"/>
                <w:bCs/>
                <w:color w:val="auto"/>
                <w:kern w:val="2"/>
                <w:highlight w:val="none"/>
                <w:lang w:val="en-US" w:eastAsia="zh-CN"/>
              </w:rPr>
              <w:t>1</w:t>
            </w:r>
            <w:r>
              <w:rPr>
                <w:rFonts w:hint="eastAsia" w:ascii="宋体" w:hAnsi="宋体" w:eastAsia="宋体" w:cs="宋体"/>
                <w:bCs/>
                <w:color w:val="auto"/>
                <w:kern w:val="2"/>
                <w:highlight w:val="none"/>
              </w:rPr>
              <w:t>.1</w:t>
            </w:r>
          </w:p>
        </w:tc>
        <w:tc>
          <w:tcPr>
            <w:tcW w:w="612" w:type="pct"/>
            <w:vAlign w:val="center"/>
          </w:tcPr>
          <w:p w14:paraId="3C9EEFD0">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评标委员会推荐中标候选人的数量</w:t>
            </w:r>
          </w:p>
        </w:tc>
        <w:tc>
          <w:tcPr>
            <w:tcW w:w="3891" w:type="pct"/>
            <w:vAlign w:val="center"/>
          </w:tcPr>
          <w:p w14:paraId="126EA0E6">
            <w:pPr>
              <w:keepNext w:val="0"/>
              <w:keepLines w:val="0"/>
              <w:widowControl/>
              <w:suppressLineNumbers w:val="0"/>
              <w:jc w:val="left"/>
              <w:rPr>
                <w:rFonts w:hint="eastAsia" w:ascii="宋体" w:hAnsi="宋体" w:eastAsia="宋体" w:cs="宋体"/>
                <w:b w:val="0"/>
                <w:color w:val="auto"/>
                <w:sz w:val="24"/>
                <w:highlight w:val="none"/>
                <w:u w:val="single"/>
              </w:rPr>
            </w:pPr>
            <w:r>
              <w:rPr>
                <w:rFonts w:hint="eastAsia" w:ascii="宋体" w:hAnsi="宋体" w:eastAsia="宋体" w:cs="宋体"/>
                <w:color w:val="auto"/>
                <w:kern w:val="0"/>
                <w:sz w:val="24"/>
                <w:szCs w:val="24"/>
                <w:highlight w:val="none"/>
                <w:lang w:val="en-US" w:eastAsia="zh-CN"/>
              </w:rPr>
              <w:t>评标委员会推荐 3 名中标候选人</w:t>
            </w:r>
          </w:p>
        </w:tc>
      </w:tr>
      <w:tr w14:paraId="3A2B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14F14C53">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r>
              <w:rPr>
                <w:rFonts w:hint="eastAsia" w:ascii="宋体" w:hAnsi="宋体" w:eastAsia="宋体" w:cs="宋体"/>
                <w:bCs/>
                <w:color w:val="auto"/>
                <w:kern w:val="2"/>
                <w:highlight w:val="none"/>
                <w:lang w:val="en-US" w:eastAsia="zh-CN"/>
              </w:rPr>
              <w:t>1</w:t>
            </w:r>
            <w:r>
              <w:rPr>
                <w:rFonts w:hint="eastAsia" w:ascii="宋体" w:hAnsi="宋体" w:eastAsia="宋体" w:cs="宋体"/>
                <w:bCs/>
                <w:color w:val="auto"/>
                <w:kern w:val="2"/>
                <w:highlight w:val="none"/>
              </w:rPr>
              <w:t>.2</w:t>
            </w:r>
          </w:p>
        </w:tc>
        <w:tc>
          <w:tcPr>
            <w:tcW w:w="612" w:type="pct"/>
            <w:vAlign w:val="center"/>
          </w:tcPr>
          <w:p w14:paraId="7E85FE1B">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确定中标人</w:t>
            </w:r>
          </w:p>
        </w:tc>
        <w:tc>
          <w:tcPr>
            <w:tcW w:w="3891" w:type="pct"/>
            <w:vAlign w:val="center"/>
          </w:tcPr>
          <w:p w14:paraId="20FAFD3A">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sym w:font="Wingdings" w:char="00FE"/>
            </w:r>
            <w:r>
              <w:rPr>
                <w:rFonts w:hint="eastAsia" w:ascii="宋体" w:hAnsi="宋体" w:eastAsia="宋体" w:cs="宋体"/>
                <w:color w:val="auto"/>
                <w:kern w:val="0"/>
                <w:sz w:val="24"/>
                <w:szCs w:val="24"/>
                <w:highlight w:val="none"/>
              </w:rPr>
              <w:t>采购人委托评标委员会确定</w:t>
            </w:r>
          </w:p>
          <w:p w14:paraId="5D54DC98">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采购人确定</w:t>
            </w:r>
          </w:p>
        </w:tc>
      </w:tr>
      <w:tr w14:paraId="5B05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6CA73637">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r>
              <w:rPr>
                <w:rFonts w:hint="eastAsia" w:ascii="宋体" w:hAnsi="宋体" w:eastAsia="宋体" w:cs="宋体"/>
                <w:bCs/>
                <w:color w:val="auto"/>
                <w:kern w:val="2"/>
                <w:highlight w:val="none"/>
                <w:lang w:val="en-US" w:eastAsia="zh-CN"/>
              </w:rPr>
              <w:t>4</w:t>
            </w:r>
            <w:r>
              <w:rPr>
                <w:rFonts w:hint="eastAsia" w:ascii="宋体" w:hAnsi="宋体" w:eastAsia="宋体" w:cs="宋体"/>
                <w:bCs/>
                <w:color w:val="auto"/>
                <w:kern w:val="2"/>
                <w:highlight w:val="none"/>
              </w:rPr>
              <w:t>.1</w:t>
            </w:r>
          </w:p>
        </w:tc>
        <w:tc>
          <w:tcPr>
            <w:tcW w:w="612" w:type="pct"/>
            <w:vAlign w:val="center"/>
          </w:tcPr>
          <w:p w14:paraId="217540ED">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中标通知书发出的形式</w:t>
            </w:r>
          </w:p>
        </w:tc>
        <w:tc>
          <w:tcPr>
            <w:tcW w:w="3891" w:type="pct"/>
            <w:vAlign w:val="center"/>
          </w:tcPr>
          <w:p w14:paraId="050FCD59">
            <w:pPr>
              <w:pStyle w:val="32"/>
              <w:widowControl w:val="0"/>
              <w:spacing w:before="0" w:beforeAutospacing="0" w:after="0" w:afterAutospacing="0" w:line="360" w:lineRule="auto"/>
              <w:jc w:val="both"/>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 xml:space="preserve">书面     </w:t>
            </w:r>
            <w:r>
              <w:rPr>
                <w:rFonts w:hint="eastAsia" w:ascii="宋体" w:hAnsi="宋体" w:eastAsia="宋体" w:cs="宋体"/>
                <w:b w:val="0"/>
                <w:bCs w:val="0"/>
                <w:color w:val="auto"/>
                <w:sz w:val="24"/>
                <w:szCs w:val="24"/>
                <w:highlight w:val="none"/>
              </w:rPr>
              <w:sym w:font="Wingdings" w:char="00A8"/>
            </w:r>
            <w:r>
              <w:rPr>
                <w:rFonts w:hint="eastAsia" w:ascii="宋体" w:hAnsi="宋体" w:eastAsia="宋体" w:cs="宋体"/>
                <w:b w:val="0"/>
                <w:bCs w:val="0"/>
                <w:color w:val="auto"/>
                <w:sz w:val="24"/>
                <w:szCs w:val="24"/>
                <w:highlight w:val="none"/>
              </w:rPr>
              <w:t>数据电文</w:t>
            </w:r>
          </w:p>
        </w:tc>
      </w:tr>
      <w:tr w14:paraId="739E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02CE948E">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25</w:t>
            </w:r>
            <w:r>
              <w:rPr>
                <w:rFonts w:hint="eastAsia" w:ascii="宋体" w:hAnsi="宋体" w:eastAsia="宋体" w:cs="宋体"/>
                <w:bCs/>
                <w:color w:val="auto"/>
                <w:kern w:val="2"/>
                <w:highlight w:val="none"/>
              </w:rPr>
              <w:t>.1</w:t>
            </w:r>
          </w:p>
        </w:tc>
        <w:tc>
          <w:tcPr>
            <w:tcW w:w="612" w:type="pct"/>
            <w:vAlign w:val="center"/>
          </w:tcPr>
          <w:p w14:paraId="55EEC46F">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告知招标结果的形式</w:t>
            </w:r>
          </w:p>
        </w:tc>
        <w:tc>
          <w:tcPr>
            <w:tcW w:w="3891" w:type="pct"/>
            <w:vAlign w:val="center"/>
          </w:tcPr>
          <w:p w14:paraId="1B6414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color w:val="auto"/>
                <w:kern w:val="0"/>
                <w:sz w:val="24"/>
                <w:szCs w:val="24"/>
                <w:highlight w:val="none"/>
              </w:rPr>
              <w:t>投标人自行</w:t>
            </w:r>
            <w:r>
              <w:rPr>
                <w:rFonts w:hint="eastAsia" w:ascii="宋体" w:hAnsi="宋体" w:eastAsia="宋体" w:cs="宋体"/>
                <w:color w:val="auto"/>
                <w:kern w:val="0"/>
                <w:sz w:val="24"/>
                <w:szCs w:val="24"/>
                <w:highlight w:val="none"/>
                <w:lang w:val="en-US" w:eastAsia="zh-CN"/>
              </w:rPr>
              <w:t>在滁州市疾病预防控制中心官网</w:t>
            </w:r>
            <w:r>
              <w:rPr>
                <w:rFonts w:hint="eastAsia" w:ascii="宋体" w:hAnsi="宋体" w:eastAsia="宋体" w:cs="宋体"/>
                <w:color w:val="auto"/>
                <w:kern w:val="0"/>
                <w:sz w:val="24"/>
                <w:szCs w:val="24"/>
                <w:highlight w:val="none"/>
              </w:rPr>
              <w:t>查看</w:t>
            </w:r>
          </w:p>
        </w:tc>
      </w:tr>
      <w:tr w14:paraId="0BE2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496" w:type="pct"/>
            <w:vAlign w:val="center"/>
          </w:tcPr>
          <w:p w14:paraId="7BAD89EB">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26</w:t>
            </w:r>
            <w:r>
              <w:rPr>
                <w:rFonts w:hint="eastAsia" w:ascii="宋体" w:hAnsi="宋体" w:eastAsia="宋体" w:cs="宋体"/>
                <w:bCs/>
                <w:color w:val="auto"/>
                <w:kern w:val="2"/>
                <w:highlight w:val="none"/>
              </w:rPr>
              <w:t>.1</w:t>
            </w:r>
          </w:p>
        </w:tc>
        <w:tc>
          <w:tcPr>
            <w:tcW w:w="612" w:type="pct"/>
            <w:vAlign w:val="center"/>
          </w:tcPr>
          <w:p w14:paraId="420AC3E6">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履约保证金</w:t>
            </w:r>
          </w:p>
        </w:tc>
        <w:tc>
          <w:tcPr>
            <w:tcW w:w="3891" w:type="pct"/>
          </w:tcPr>
          <w:p w14:paraId="2D1B9397">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（1）金额：</w:t>
            </w:r>
          </w:p>
          <w:p w14:paraId="1B987C42">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lang w:eastAsia="zh-CN"/>
              </w:rPr>
              <w:t>☑</w:t>
            </w:r>
            <w:r>
              <w:rPr>
                <w:rFonts w:hint="eastAsia" w:ascii="宋体" w:hAnsi="宋体" w:eastAsia="宋体" w:cs="宋体"/>
                <w:bCs/>
                <w:color w:val="auto"/>
                <w:kern w:val="0"/>
                <w:sz w:val="24"/>
                <w:szCs w:val="28"/>
                <w:highlight w:val="none"/>
              </w:rPr>
              <w:t>免收</w:t>
            </w:r>
          </w:p>
          <w:p w14:paraId="7028D97C">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rPr>
              <w:t>%</w:t>
            </w:r>
          </w:p>
          <w:p w14:paraId="492B3D23">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rPr>
              <w:t>元</w:t>
            </w:r>
          </w:p>
          <w:p w14:paraId="1872FE12">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（2）支付方式：</w:t>
            </w:r>
          </w:p>
          <w:p w14:paraId="5C9DD1A4">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转账/电汇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支票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汇票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本票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 xml:space="preserve">保险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bCs/>
                <w:color w:val="auto"/>
                <w:kern w:val="0"/>
                <w:sz w:val="24"/>
                <w:szCs w:val="28"/>
                <w:highlight w:val="none"/>
              </w:rPr>
              <w:t>保函</w:t>
            </w:r>
          </w:p>
          <w:p w14:paraId="31200E21">
            <w:pPr>
              <w:numPr>
                <w:ilvl w:val="0"/>
                <w:numId w:val="0"/>
              </w:num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lang w:eastAsia="zh-CN"/>
              </w:rPr>
              <w:t>（</w:t>
            </w:r>
            <w:r>
              <w:rPr>
                <w:rFonts w:hint="eastAsia" w:ascii="宋体" w:hAnsi="宋体" w:eastAsia="宋体" w:cs="宋体"/>
                <w:bCs/>
                <w:color w:val="auto"/>
                <w:kern w:val="0"/>
                <w:sz w:val="24"/>
                <w:szCs w:val="28"/>
                <w:highlight w:val="none"/>
                <w:lang w:val="en-US" w:eastAsia="zh-CN"/>
              </w:rPr>
              <w:t>3</w:t>
            </w:r>
            <w:r>
              <w:rPr>
                <w:rFonts w:hint="eastAsia" w:ascii="宋体" w:hAnsi="宋体" w:eastAsia="宋体" w:cs="宋体"/>
                <w:bCs/>
                <w:color w:val="auto"/>
                <w:kern w:val="0"/>
                <w:sz w:val="24"/>
                <w:szCs w:val="28"/>
                <w:highlight w:val="none"/>
                <w:lang w:eastAsia="zh-CN"/>
              </w:rPr>
              <w:t>）</w:t>
            </w:r>
            <w:r>
              <w:rPr>
                <w:rFonts w:hint="eastAsia" w:ascii="宋体" w:hAnsi="宋体" w:eastAsia="宋体" w:cs="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rPr>
              <w:t xml:space="preserve">              </w:t>
            </w:r>
          </w:p>
          <w:p w14:paraId="28536895">
            <w:pPr>
              <w:spacing w:line="360" w:lineRule="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 xml:space="preserve">              </w:t>
            </w:r>
          </w:p>
          <w:p w14:paraId="4F27666C">
            <w:pPr>
              <w:spacing w:line="360" w:lineRule="auto"/>
              <w:rPr>
                <w:rFonts w:hint="eastAsia" w:ascii="宋体" w:hAnsi="宋体" w:eastAsia="宋体" w:cs="宋体"/>
                <w:color w:val="auto"/>
                <w:sz w:val="24"/>
                <w:highlight w:val="none"/>
              </w:rPr>
            </w:pPr>
            <w:r>
              <w:rPr>
                <w:rFonts w:hint="eastAsia" w:ascii="宋体" w:hAnsi="宋体" w:eastAsia="宋体" w:cs="宋体"/>
                <w:bCs/>
                <w:color w:val="auto"/>
                <w:kern w:val="0"/>
                <w:sz w:val="24"/>
                <w:szCs w:val="28"/>
                <w:highlight w:val="none"/>
              </w:rPr>
              <w:t>（</w:t>
            </w:r>
            <w:r>
              <w:rPr>
                <w:rFonts w:hint="eastAsia" w:ascii="宋体" w:hAnsi="宋体" w:eastAsia="宋体" w:cs="宋体"/>
                <w:bCs/>
                <w:color w:val="auto"/>
                <w:kern w:val="0"/>
                <w:sz w:val="24"/>
                <w:szCs w:val="28"/>
                <w:highlight w:val="none"/>
                <w:lang w:val="en-US" w:eastAsia="zh-CN"/>
              </w:rPr>
              <w:t>5</w:t>
            </w:r>
            <w:r>
              <w:rPr>
                <w:rFonts w:hint="eastAsia" w:ascii="宋体" w:hAnsi="宋体" w:eastAsia="宋体" w:cs="宋体"/>
                <w:bCs/>
                <w:color w:val="auto"/>
                <w:kern w:val="0"/>
                <w:sz w:val="24"/>
                <w:szCs w:val="28"/>
                <w:highlight w:val="none"/>
              </w:rPr>
              <w:t>）</w:t>
            </w:r>
            <w:r>
              <w:rPr>
                <w:rFonts w:hint="eastAsia" w:ascii="宋体" w:hAnsi="宋体" w:eastAsia="宋体" w:cs="宋体"/>
                <w:color w:val="auto"/>
                <w:sz w:val="24"/>
                <w:highlight w:val="none"/>
              </w:rPr>
              <w:t>退还时间：</w:t>
            </w:r>
            <w:r>
              <w:rPr>
                <w:rFonts w:hint="eastAsia" w:ascii="宋体" w:hAnsi="宋体" w:eastAsia="宋体" w:cs="宋体"/>
                <w:bCs/>
                <w:color w:val="auto"/>
                <w:kern w:val="0"/>
                <w:sz w:val="24"/>
                <w:szCs w:val="28"/>
                <w:highlight w:val="none"/>
                <w:u w:val="single"/>
              </w:rPr>
              <w:t xml:space="preserve">              </w:t>
            </w:r>
          </w:p>
          <w:p w14:paraId="0B79F3D9">
            <w:pPr>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注意事项：</w:t>
            </w:r>
          </w:p>
          <w:p w14:paraId="7E207176">
            <w:pPr>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（1）以上各类机构出具的以担保函、保证保险承担责任的方式均须满足无条件见索即付条件。</w:t>
            </w:r>
          </w:p>
          <w:p w14:paraId="59C1FFD7">
            <w:pPr>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（2）以担保函、保证保险形式缴纳履约保证金的，受益人和收取单位须为采购人。</w:t>
            </w:r>
          </w:p>
        </w:tc>
      </w:tr>
      <w:tr w14:paraId="225F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496" w:type="pct"/>
            <w:vAlign w:val="center"/>
          </w:tcPr>
          <w:p w14:paraId="71FD118A">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27</w:t>
            </w:r>
            <w:r>
              <w:rPr>
                <w:rFonts w:hint="eastAsia" w:ascii="宋体" w:hAnsi="宋体" w:eastAsia="宋体" w:cs="宋体"/>
                <w:bCs/>
                <w:color w:val="auto"/>
                <w:kern w:val="2"/>
                <w:highlight w:val="none"/>
              </w:rPr>
              <w:t>.1</w:t>
            </w:r>
          </w:p>
        </w:tc>
        <w:tc>
          <w:tcPr>
            <w:tcW w:w="612" w:type="pct"/>
            <w:vAlign w:val="center"/>
          </w:tcPr>
          <w:p w14:paraId="43FC3496">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签订合同和合同公告时间</w:t>
            </w:r>
          </w:p>
        </w:tc>
        <w:tc>
          <w:tcPr>
            <w:tcW w:w="3891" w:type="pct"/>
          </w:tcPr>
          <w:p w14:paraId="6A2B0108">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（1）采购人与中标人应当自发出中标通知书之日起7个工作日内签订合同。</w:t>
            </w:r>
          </w:p>
          <w:p w14:paraId="68981EA1">
            <w:pPr>
              <w:pStyle w:val="1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（2）采购人与中标人不得擅自变更合同。</w:t>
            </w:r>
          </w:p>
        </w:tc>
      </w:tr>
      <w:tr w14:paraId="1324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2D957F3E">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28</w:t>
            </w:r>
            <w:r>
              <w:rPr>
                <w:rFonts w:hint="eastAsia" w:ascii="宋体" w:hAnsi="宋体" w:eastAsia="宋体" w:cs="宋体"/>
                <w:bCs/>
                <w:color w:val="auto"/>
                <w:kern w:val="2"/>
                <w:highlight w:val="none"/>
              </w:rPr>
              <w:t>.1</w:t>
            </w:r>
          </w:p>
        </w:tc>
        <w:tc>
          <w:tcPr>
            <w:tcW w:w="612" w:type="pct"/>
            <w:vAlign w:val="center"/>
          </w:tcPr>
          <w:p w14:paraId="1EB92F0B">
            <w:pPr>
              <w:pStyle w:val="32"/>
              <w:widowControl w:val="0"/>
              <w:spacing w:before="0" w:beforeAutospacing="0" w:after="0" w:afterAutospacing="0" w:line="360" w:lineRule="auto"/>
              <w:jc w:val="both"/>
              <w:rPr>
                <w:rFonts w:hint="eastAsia" w:ascii="宋体" w:hAnsi="宋体" w:eastAsia="宋体" w:cs="宋体"/>
                <w:b w:val="0"/>
                <w:color w:val="auto"/>
                <w:sz w:val="24"/>
                <w:highlight w:val="none"/>
                <w:lang w:eastAsia="zh-CN"/>
              </w:rPr>
            </w:pPr>
            <w:r>
              <w:rPr>
                <w:rFonts w:hint="eastAsia" w:ascii="宋体" w:hAnsi="宋体" w:eastAsia="宋体" w:cs="宋体"/>
                <w:b w:val="0"/>
                <w:color w:val="auto"/>
                <w:sz w:val="24"/>
                <w:highlight w:val="none"/>
                <w:lang w:val="en-US" w:eastAsia="zh-CN"/>
              </w:rPr>
              <w:t>代理及评审费用</w:t>
            </w:r>
          </w:p>
        </w:tc>
        <w:tc>
          <w:tcPr>
            <w:tcW w:w="3891" w:type="pct"/>
            <w:vAlign w:val="center"/>
          </w:tcPr>
          <w:p w14:paraId="531F2335">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0"/>
                <w:sz w:val="24"/>
                <w:szCs w:val="28"/>
                <w:highlight w:val="none"/>
                <w:lang w:eastAsia="zh-CN"/>
              </w:rPr>
              <w:t>（</w:t>
            </w:r>
            <w:r>
              <w:rPr>
                <w:rFonts w:hint="eastAsia" w:ascii="宋体" w:hAnsi="宋体" w:eastAsia="宋体" w:cs="宋体"/>
                <w:bCs/>
                <w:color w:val="auto"/>
                <w:kern w:val="0"/>
                <w:sz w:val="24"/>
                <w:szCs w:val="28"/>
                <w:highlight w:val="none"/>
                <w:lang w:val="en-US" w:eastAsia="zh-CN"/>
              </w:rPr>
              <w:t>1</w:t>
            </w:r>
            <w:r>
              <w:rPr>
                <w:rFonts w:hint="eastAsia" w:ascii="宋体" w:hAnsi="宋体" w:eastAsia="宋体" w:cs="宋体"/>
                <w:bCs/>
                <w:color w:val="auto"/>
                <w:kern w:val="0"/>
                <w:sz w:val="24"/>
                <w:szCs w:val="28"/>
                <w:highlight w:val="none"/>
                <w:lang w:eastAsia="zh-CN"/>
              </w:rPr>
              <w:t>）</w:t>
            </w:r>
            <w:r>
              <w:rPr>
                <w:rFonts w:hint="eastAsia" w:ascii="宋体" w:hAnsi="宋体" w:eastAsia="宋体" w:cs="宋体"/>
                <w:bCs/>
                <w:color w:val="auto"/>
                <w:kern w:val="0"/>
                <w:sz w:val="24"/>
                <w:szCs w:val="28"/>
                <w:highlight w:val="none"/>
              </w:rPr>
              <w:t>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中标人</w:t>
            </w:r>
          </w:p>
          <w:p w14:paraId="7256C3A0">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现金或转账</w:t>
            </w:r>
          </w:p>
          <w:p w14:paraId="078947A0">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color w:val="auto"/>
                <w:sz w:val="24"/>
                <w:highlight w:val="none"/>
              </w:rPr>
            </w:pPr>
            <w:r>
              <w:rPr>
                <w:rFonts w:hint="eastAsia" w:ascii="宋体" w:hAnsi="宋体" w:eastAsia="宋体" w:cs="宋体"/>
                <w:b w:val="0"/>
                <w:bCs w:val="0"/>
                <w:color w:val="auto"/>
                <w:kern w:val="0"/>
                <w:sz w:val="24"/>
                <w:szCs w:val="28"/>
                <w:highlight w:val="none"/>
              </w:rPr>
              <w:t>（3）</w:t>
            </w:r>
            <w:r>
              <w:rPr>
                <w:rFonts w:hint="eastAsia" w:ascii="宋体" w:hAnsi="宋体" w:eastAsia="宋体" w:cs="宋体"/>
                <w:b w:val="0"/>
                <w:bCs/>
                <w:color w:val="auto"/>
                <w:kern w:val="0"/>
                <w:sz w:val="24"/>
                <w:szCs w:val="28"/>
                <w:highlight w:val="none"/>
                <w:lang w:val="en-US" w:eastAsia="zh-CN" w:bidi="ar-SA"/>
              </w:rPr>
              <w:t>收费标准：</w:t>
            </w:r>
            <w:r>
              <w:rPr>
                <w:rFonts w:hint="eastAsia" w:ascii="宋体" w:hAnsi="宋体" w:eastAsia="宋体" w:cs="宋体"/>
                <w:color w:val="auto"/>
                <w:sz w:val="24"/>
                <w:szCs w:val="24"/>
                <w:highlight w:val="none"/>
                <w:u w:val="single" w:color="auto"/>
                <w:lang w:val="en-US" w:eastAsia="zh-CN"/>
              </w:rPr>
              <w:t>2000元（</w:t>
            </w:r>
            <w:r>
              <w:rPr>
                <w:rFonts w:hint="eastAsia" w:ascii="宋体" w:hAnsi="宋体" w:eastAsia="宋体" w:cs="宋体"/>
                <w:b w:val="0"/>
                <w:bCs w:val="0"/>
                <w:color w:val="auto"/>
                <w:kern w:val="2"/>
                <w:sz w:val="24"/>
                <w:szCs w:val="24"/>
                <w:highlight w:val="none"/>
                <w:u w:val="single"/>
                <w:lang w:val="en-US" w:eastAsia="zh-CN" w:bidi="ar-SA"/>
              </w:rPr>
              <w:t xml:space="preserve">评审费另计，以实际发生为准） </w:t>
            </w:r>
          </w:p>
        </w:tc>
      </w:tr>
      <w:tr w14:paraId="524D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496" w:type="pct"/>
            <w:vAlign w:val="center"/>
          </w:tcPr>
          <w:p w14:paraId="241F9FE7">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lang w:eastAsia="zh-CN"/>
              </w:rPr>
            </w:pPr>
            <w:r>
              <w:rPr>
                <w:rFonts w:hint="eastAsia" w:ascii="宋体" w:hAnsi="宋体" w:eastAsia="宋体" w:cs="宋体"/>
                <w:bCs/>
                <w:color w:val="auto"/>
                <w:kern w:val="2"/>
                <w:highlight w:val="none"/>
              </w:rPr>
              <w:t>3</w:t>
            </w:r>
            <w:r>
              <w:rPr>
                <w:rFonts w:hint="eastAsia" w:ascii="宋体" w:hAnsi="宋体" w:eastAsia="宋体" w:cs="宋体"/>
                <w:bCs/>
                <w:color w:val="auto"/>
                <w:kern w:val="2"/>
                <w:highlight w:val="none"/>
                <w:lang w:val="en-US" w:eastAsia="zh-CN"/>
              </w:rPr>
              <w:t>1</w:t>
            </w:r>
            <w:r>
              <w:rPr>
                <w:rFonts w:hint="eastAsia" w:ascii="宋体" w:hAnsi="宋体" w:eastAsia="宋体" w:cs="宋体"/>
                <w:bCs/>
                <w:color w:val="auto"/>
                <w:kern w:val="2"/>
                <w:highlight w:val="none"/>
              </w:rPr>
              <w:t>.</w:t>
            </w:r>
            <w:r>
              <w:rPr>
                <w:rFonts w:hint="eastAsia" w:ascii="宋体" w:hAnsi="宋体" w:eastAsia="宋体" w:cs="宋体"/>
                <w:bCs/>
                <w:color w:val="auto"/>
                <w:kern w:val="2"/>
                <w:highlight w:val="none"/>
                <w:lang w:val="en-US" w:eastAsia="zh-CN"/>
              </w:rPr>
              <w:t>3</w:t>
            </w:r>
          </w:p>
        </w:tc>
        <w:tc>
          <w:tcPr>
            <w:tcW w:w="612" w:type="pct"/>
            <w:vAlign w:val="center"/>
          </w:tcPr>
          <w:p w14:paraId="58217240">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质疑函递交方式、接收部门、联系电话和通讯地址</w:t>
            </w:r>
          </w:p>
        </w:tc>
        <w:tc>
          <w:tcPr>
            <w:tcW w:w="3891" w:type="pct"/>
            <w:vAlign w:val="center"/>
          </w:tcPr>
          <w:p w14:paraId="4922C9E8">
            <w:pPr>
              <w:keepNext w:val="0"/>
              <w:keepLines w:val="0"/>
              <w:widowControl/>
              <w:suppressLineNumbers w:val="0"/>
              <w:spacing w:line="360" w:lineRule="auto"/>
              <w:jc w:val="left"/>
              <w:rPr>
                <w:rFonts w:hint="eastAsia" w:ascii="宋体" w:hAnsi="宋体" w:eastAsia="宋体" w:cs="宋体"/>
                <w:b w:val="0"/>
                <w:bCs w:val="0"/>
                <w:color w:val="auto"/>
                <w:highlight w:val="none"/>
                <w:u w:val="single"/>
              </w:rPr>
            </w:pPr>
            <w:r>
              <w:rPr>
                <w:rFonts w:hint="eastAsia" w:ascii="宋体" w:hAnsi="宋体" w:eastAsia="宋体" w:cs="宋体"/>
                <w:b w:val="0"/>
                <w:color w:val="auto"/>
                <w:sz w:val="24"/>
                <w:highlight w:val="none"/>
              </w:rPr>
              <w:t>递交方式：</w:t>
            </w:r>
            <w:r>
              <w:rPr>
                <w:rFonts w:hint="eastAsia" w:ascii="宋体" w:hAnsi="宋体" w:eastAsia="宋体" w:cs="宋体"/>
                <w:b w:val="0"/>
                <w:bCs w:val="0"/>
                <w:color w:val="auto"/>
                <w:kern w:val="0"/>
                <w:sz w:val="24"/>
                <w:szCs w:val="24"/>
                <w:highlight w:val="none"/>
                <w:u w:val="single"/>
                <w:lang w:val="en-US" w:eastAsia="zh-CN"/>
              </w:rPr>
              <w:t>投标人通过书面形式提出，一份质疑函只能针对一个项目提出质疑，且针对同一采购程序环节的质疑应当一次性提出。</w:t>
            </w:r>
          </w:p>
          <w:p w14:paraId="1AE3F721">
            <w:pPr>
              <w:pStyle w:val="32"/>
              <w:widowControl w:val="0"/>
              <w:spacing w:before="0" w:beforeAutospacing="0" w:after="0" w:afterAutospacing="0" w:line="360" w:lineRule="auto"/>
              <w:jc w:val="both"/>
              <w:rPr>
                <w:rFonts w:hint="eastAsia" w:ascii="宋体" w:hAnsi="宋体" w:eastAsia="宋体" w:cs="宋体"/>
                <w:b w:val="0"/>
                <w:bCs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val="en-US" w:eastAsia="zh-CN"/>
              </w:rPr>
              <w:t>滁州市疾病预防控制中心或安徽泓樾工程项目管理有限公司</w:t>
            </w:r>
          </w:p>
          <w:p w14:paraId="74C78483">
            <w:pPr>
              <w:pStyle w:val="32"/>
              <w:widowControl w:val="0"/>
              <w:spacing w:before="0" w:beforeAutospacing="0" w:after="0" w:afterAutospacing="0" w:line="360" w:lineRule="auto"/>
              <w:jc w:val="both"/>
              <w:rPr>
                <w:rFonts w:hint="eastAsia" w:ascii="宋体" w:hAnsi="宋体" w:eastAsia="宋体" w:cs="宋体"/>
                <w:b w:val="0"/>
                <w:bCs w:val="0"/>
                <w:color w:val="auto"/>
                <w:sz w:val="24"/>
                <w:szCs w:val="18"/>
                <w:highlight w:val="none"/>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val="en-US" w:eastAsia="zh-CN"/>
              </w:rPr>
              <w:t>0550-3519356或13083326075</w:t>
            </w:r>
          </w:p>
          <w:p w14:paraId="29923B50">
            <w:pPr>
              <w:pStyle w:val="32"/>
              <w:widowControl w:val="0"/>
              <w:spacing w:before="0" w:beforeAutospacing="0" w:after="0" w:afterAutospacing="0" w:line="360" w:lineRule="auto"/>
              <w:jc w:val="both"/>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val="en-US" w:eastAsia="zh-CN"/>
              </w:rPr>
              <w:t>滁州市会峰西路669-1号或滁州市南谯区港汇中心B座10楼</w:t>
            </w:r>
          </w:p>
        </w:tc>
      </w:tr>
      <w:tr w14:paraId="56373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7EEDDE0D">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lang w:val="en-US" w:eastAsia="zh-CN"/>
              </w:rPr>
            </w:pPr>
            <w:r>
              <w:rPr>
                <w:rFonts w:hint="eastAsia" w:ascii="宋体" w:hAnsi="宋体" w:eastAsia="宋体" w:cs="宋体"/>
                <w:bCs/>
                <w:color w:val="auto"/>
                <w:kern w:val="2"/>
                <w:highlight w:val="none"/>
                <w:lang w:val="en-US" w:eastAsia="zh-CN"/>
              </w:rPr>
              <w:t>32</w:t>
            </w:r>
          </w:p>
        </w:tc>
        <w:tc>
          <w:tcPr>
            <w:tcW w:w="612" w:type="pct"/>
            <w:vAlign w:val="center"/>
          </w:tcPr>
          <w:p w14:paraId="64C00305">
            <w:pPr>
              <w:pStyle w:val="32"/>
              <w:widowControl w:val="0"/>
              <w:spacing w:before="0" w:beforeAutospacing="0" w:after="0" w:afterAutospacing="0" w:line="360" w:lineRule="auto"/>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其他内容</w:t>
            </w:r>
          </w:p>
        </w:tc>
        <w:tc>
          <w:tcPr>
            <w:tcW w:w="3891" w:type="pct"/>
            <w:vAlign w:val="center"/>
          </w:tcPr>
          <w:p w14:paraId="3D717CA1">
            <w:pPr>
              <w:pStyle w:val="32"/>
              <w:widowControl w:val="0"/>
              <w:numPr>
                <w:ilvl w:val="0"/>
                <w:numId w:val="0"/>
              </w:numPr>
              <w:spacing w:before="0" w:beforeAutospacing="0" w:after="0" w:afterAutospacing="0" w:line="360" w:lineRule="auto"/>
              <w:jc w:val="both"/>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lang w:val="en-US" w:eastAsia="zh-CN"/>
              </w:rPr>
              <w:t>1、解释权：</w:t>
            </w:r>
          </w:p>
          <w:p w14:paraId="29C8240A">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（1）构成本招标文件的各个组成文件应互为解释，互为说明；</w:t>
            </w:r>
          </w:p>
          <w:p w14:paraId="5A690ED6">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（2）同一组成文件中就同一事项的规定或约定不一致的，以编排顺序在后者为准；</w:t>
            </w:r>
          </w:p>
          <w:p w14:paraId="15D7E672">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（3）如有不明确或不一致，构成合同文件组成内容的，以合同文件约定内容为准，且以专用合同条款约定的合同文件优先顺序解释；</w:t>
            </w:r>
          </w:p>
          <w:p w14:paraId="2647B544">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（4）除招标文件中有特别规定外，仅适用于招标投标阶段的规定，按招标公告、投标邀请、投标人须知、评标方法和标准、投标文件格式的先后顺序解释；</w:t>
            </w:r>
          </w:p>
          <w:p w14:paraId="3EA279E9">
            <w:pPr>
              <w:pStyle w:val="32"/>
              <w:widowControl w:val="0"/>
              <w:numPr>
                <w:ilvl w:val="0"/>
                <w:numId w:val="0"/>
              </w:numPr>
              <w:spacing w:before="0" w:beforeAutospacing="0" w:after="0" w:afterAutospacing="0" w:line="360" w:lineRule="auto"/>
              <w:jc w:val="both"/>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（5）按本款前述规定仍不能形成结论的，由采购人负责解释。</w:t>
            </w:r>
          </w:p>
        </w:tc>
      </w:tr>
      <w:tr w14:paraId="4150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586CE7F4">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
                <w:bCs w:val="0"/>
                <w:color w:val="auto"/>
                <w:kern w:val="2"/>
                <w:highlight w:val="none"/>
                <w:lang w:val="en-US" w:eastAsia="zh-CN"/>
              </w:rPr>
            </w:pPr>
            <w:r>
              <w:rPr>
                <w:rFonts w:hint="eastAsia" w:ascii="宋体" w:hAnsi="宋体" w:eastAsia="宋体" w:cs="宋体"/>
                <w:b/>
                <w:bCs w:val="0"/>
                <w:color w:val="auto"/>
                <w:kern w:val="2"/>
                <w:highlight w:val="none"/>
                <w:lang w:val="en-US" w:eastAsia="zh-CN"/>
              </w:rPr>
              <w:t>33</w:t>
            </w:r>
          </w:p>
        </w:tc>
        <w:tc>
          <w:tcPr>
            <w:tcW w:w="612" w:type="pct"/>
            <w:vAlign w:val="center"/>
          </w:tcPr>
          <w:p w14:paraId="1ED89F81">
            <w:pPr>
              <w:pStyle w:val="32"/>
              <w:widowControl w:val="0"/>
              <w:spacing w:before="0" w:beforeAutospacing="0" w:after="0" w:afterAutospacing="0" w:line="360" w:lineRule="auto"/>
              <w:jc w:val="both"/>
              <w:rPr>
                <w:rFonts w:hint="eastAsia"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投标文件数量</w:t>
            </w:r>
          </w:p>
        </w:tc>
        <w:tc>
          <w:tcPr>
            <w:tcW w:w="3891" w:type="pct"/>
            <w:vAlign w:val="center"/>
          </w:tcPr>
          <w:p w14:paraId="25BE1959">
            <w:pPr>
              <w:spacing w:line="360" w:lineRule="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正本1份，副本2份，正副本不一致时，以正本为准。</w:t>
            </w:r>
          </w:p>
        </w:tc>
      </w:tr>
      <w:tr w14:paraId="3EC7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64A8D8A2">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
                <w:bCs w:val="0"/>
                <w:color w:val="auto"/>
                <w:kern w:val="2"/>
                <w:highlight w:val="none"/>
                <w:lang w:val="en-US" w:eastAsia="zh-CN"/>
              </w:rPr>
            </w:pPr>
            <w:r>
              <w:rPr>
                <w:rFonts w:hint="eastAsia" w:ascii="宋体" w:hAnsi="宋体" w:eastAsia="宋体" w:cs="宋体"/>
                <w:b/>
                <w:bCs w:val="0"/>
                <w:color w:val="auto"/>
                <w:kern w:val="2"/>
                <w:highlight w:val="none"/>
                <w:lang w:val="en-US" w:eastAsia="zh-CN"/>
              </w:rPr>
              <w:t>34</w:t>
            </w:r>
          </w:p>
        </w:tc>
        <w:tc>
          <w:tcPr>
            <w:tcW w:w="612" w:type="pct"/>
            <w:vAlign w:val="center"/>
          </w:tcPr>
          <w:p w14:paraId="1A49F5BE">
            <w:pPr>
              <w:pStyle w:val="32"/>
              <w:widowControl w:val="0"/>
              <w:spacing w:before="0" w:beforeAutospacing="0" w:after="0" w:afterAutospacing="0" w:line="360" w:lineRule="auto"/>
              <w:jc w:val="both"/>
              <w:rPr>
                <w:rFonts w:hint="eastAsia"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签字或盖章及密封要求</w:t>
            </w:r>
          </w:p>
        </w:tc>
        <w:tc>
          <w:tcPr>
            <w:tcW w:w="3891" w:type="pct"/>
            <w:vAlign w:val="center"/>
          </w:tcPr>
          <w:p w14:paraId="35EE4C60">
            <w:pPr>
              <w:spacing w:line="360" w:lineRule="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一正两副装订成册，</w:t>
            </w:r>
            <w:r>
              <w:rPr>
                <w:rFonts w:hint="eastAsia" w:ascii="宋体" w:hAnsi="宋体" w:eastAsia="宋体" w:cs="宋体"/>
                <w:b/>
                <w:bCs w:val="0"/>
                <w:color w:val="auto"/>
                <w:sz w:val="24"/>
                <w:szCs w:val="24"/>
                <w:highlight w:val="none"/>
                <w:lang w:val="en-US" w:eastAsia="zh-CN"/>
              </w:rPr>
              <w:t>不得活页装订，</w:t>
            </w:r>
            <w:r>
              <w:rPr>
                <w:rFonts w:hint="eastAsia" w:ascii="宋体" w:hAnsi="宋体" w:eastAsia="宋体" w:cs="宋体"/>
                <w:b/>
                <w:bCs w:val="0"/>
                <w:color w:val="auto"/>
                <w:sz w:val="24"/>
                <w:szCs w:val="24"/>
                <w:highlight w:val="none"/>
              </w:rPr>
              <w:t>密封</w:t>
            </w:r>
            <w:r>
              <w:rPr>
                <w:rFonts w:hint="eastAsia" w:ascii="宋体" w:hAnsi="宋体" w:eastAsia="宋体" w:cs="宋体"/>
                <w:b/>
                <w:bCs w:val="0"/>
                <w:color w:val="auto"/>
                <w:sz w:val="24"/>
                <w:szCs w:val="24"/>
                <w:highlight w:val="none"/>
                <w:lang w:val="en-US" w:eastAsia="zh-CN"/>
              </w:rPr>
              <w:t>于</w:t>
            </w:r>
            <w:r>
              <w:rPr>
                <w:rFonts w:hint="eastAsia" w:ascii="宋体" w:hAnsi="宋体" w:eastAsia="宋体" w:cs="宋体"/>
                <w:b/>
                <w:bCs w:val="0"/>
                <w:color w:val="auto"/>
                <w:sz w:val="24"/>
                <w:szCs w:val="24"/>
                <w:highlight w:val="none"/>
              </w:rPr>
              <w:t>档案袋中，各部分档案袋封面注明项目名称、单位、联系人及联系方式</w:t>
            </w:r>
          </w:p>
        </w:tc>
      </w:tr>
      <w:tr w14:paraId="6B5F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96" w:type="pct"/>
            <w:vAlign w:val="center"/>
          </w:tcPr>
          <w:p w14:paraId="67BBF9DE">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
                <w:bCs w:val="0"/>
                <w:color w:val="auto"/>
                <w:kern w:val="2"/>
                <w:highlight w:val="none"/>
                <w:lang w:val="en-US" w:eastAsia="zh-CN"/>
              </w:rPr>
            </w:pPr>
            <w:r>
              <w:rPr>
                <w:rFonts w:hint="eastAsia" w:ascii="宋体" w:hAnsi="宋体" w:eastAsia="宋体" w:cs="宋体"/>
                <w:b/>
                <w:bCs w:val="0"/>
                <w:color w:val="auto"/>
                <w:kern w:val="2"/>
                <w:highlight w:val="none"/>
                <w:lang w:val="en-US" w:eastAsia="zh-CN"/>
              </w:rPr>
              <w:t>35</w:t>
            </w:r>
          </w:p>
        </w:tc>
        <w:tc>
          <w:tcPr>
            <w:tcW w:w="612" w:type="pct"/>
            <w:vAlign w:val="center"/>
          </w:tcPr>
          <w:p w14:paraId="3057A2CD">
            <w:pPr>
              <w:pStyle w:val="32"/>
              <w:widowControl w:val="0"/>
              <w:spacing w:before="0" w:beforeAutospacing="0" w:after="0" w:afterAutospacing="0" w:line="360" w:lineRule="auto"/>
              <w:jc w:val="both"/>
              <w:rPr>
                <w:rFonts w:hint="eastAsia"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投标文件提交截止时间</w:t>
            </w:r>
          </w:p>
        </w:tc>
        <w:tc>
          <w:tcPr>
            <w:tcW w:w="3891" w:type="pct"/>
            <w:vAlign w:val="center"/>
          </w:tcPr>
          <w:p w14:paraId="0EB23D11">
            <w:pPr>
              <w:spacing w:line="360" w:lineRule="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递交投标文件截止时间：</w:t>
            </w:r>
            <w:r>
              <w:rPr>
                <w:rFonts w:hint="eastAsia" w:ascii="宋体" w:hAnsi="宋体" w:eastAsia="宋体" w:cs="宋体"/>
                <w:color w:val="auto"/>
                <w:sz w:val="24"/>
                <w:szCs w:val="24"/>
                <w:highlight w:val="none"/>
                <w:u w:val="single"/>
                <w:lang w:val="en-US" w:eastAsia="zh-CN"/>
              </w:rPr>
              <w:t>2026年9月17日10</w:t>
            </w:r>
            <w:r>
              <w:rPr>
                <w:rFonts w:hint="eastAsia" w:ascii="宋体" w:hAnsi="宋体" w:eastAsia="宋体" w:cs="宋体"/>
                <w:color w:val="auto"/>
                <w:sz w:val="24"/>
                <w:szCs w:val="24"/>
                <w:highlight w:val="none"/>
                <w:u w:val="none"/>
                <w:lang w:val="en-US" w:eastAsia="zh-CN"/>
              </w:rPr>
              <w:t>时</w:t>
            </w:r>
            <w:r>
              <w:rPr>
                <w:rFonts w:hint="eastAsia" w:ascii="宋体" w:hAnsi="宋体" w:eastAsia="宋体" w:cs="宋体"/>
                <w:color w:val="auto"/>
                <w:sz w:val="24"/>
                <w:szCs w:val="24"/>
                <w:highlight w:val="none"/>
                <w:u w:val="single"/>
                <w:lang w:val="en-US" w:eastAsia="zh-CN"/>
              </w:rPr>
              <w:t>00</w:t>
            </w:r>
            <w:r>
              <w:rPr>
                <w:rFonts w:hint="eastAsia" w:ascii="宋体" w:hAnsi="宋体" w:eastAsia="宋体" w:cs="宋体"/>
                <w:color w:val="auto"/>
                <w:sz w:val="24"/>
                <w:szCs w:val="24"/>
                <w:highlight w:val="none"/>
                <w:u w:val="none"/>
                <w:lang w:val="en-US" w:eastAsia="zh-CN"/>
              </w:rPr>
              <w:t>分</w:t>
            </w:r>
            <w:r>
              <w:rPr>
                <w:rFonts w:hint="eastAsia" w:ascii="宋体" w:hAnsi="宋体" w:eastAsia="宋体" w:cs="宋体"/>
                <w:b/>
                <w:bCs w:val="0"/>
                <w:color w:val="auto"/>
                <w:sz w:val="24"/>
                <w:szCs w:val="24"/>
                <w:highlight w:val="none"/>
                <w:lang w:val="en-US" w:eastAsia="zh-CN"/>
              </w:rPr>
              <w:t>（</w:t>
            </w:r>
            <w:r>
              <w:rPr>
                <w:rFonts w:hint="eastAsia" w:ascii="宋体" w:hAnsi="宋体" w:eastAsia="宋体" w:cs="宋体"/>
                <w:b/>
                <w:bCs w:val="0"/>
                <w:color w:val="auto"/>
                <w:sz w:val="24"/>
                <w:szCs w:val="24"/>
                <w:highlight w:val="none"/>
              </w:rPr>
              <w:t>北京时间）</w:t>
            </w:r>
          </w:p>
          <w:p w14:paraId="674782EC">
            <w:pPr>
              <w:spacing w:line="360" w:lineRule="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注：以投标人在投标截止时间前递交的投标文件为准，逾期提交的，投标文件将被拒绝。</w:t>
            </w:r>
          </w:p>
        </w:tc>
      </w:tr>
    </w:tbl>
    <w:p w14:paraId="143591C6">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8"/>
          <w:highlight w:val="none"/>
        </w:rPr>
        <w:br w:type="page"/>
      </w:r>
      <w:bookmarkStart w:id="5" w:name="_Toc24882"/>
      <w:bookmarkStart w:id="6" w:name="_Toc14880"/>
      <w:r>
        <w:rPr>
          <w:rFonts w:hint="eastAsia" w:ascii="宋体" w:hAnsi="宋体" w:eastAsia="宋体" w:cs="宋体"/>
          <w:b/>
          <w:color w:val="auto"/>
          <w:sz w:val="24"/>
          <w:szCs w:val="24"/>
          <w:highlight w:val="none"/>
        </w:rPr>
        <w:t>二、投标人须知正文</w:t>
      </w:r>
      <w:bookmarkEnd w:id="5"/>
      <w:bookmarkEnd w:id="6"/>
    </w:p>
    <w:p w14:paraId="1E5684B4">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1.采购人、采购代理机构及投标人</w:t>
      </w:r>
    </w:p>
    <w:p w14:paraId="45F256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.1采购人：是指依法开展政府采购活动的国家机关、事业单位、团体组织。</w:t>
      </w:r>
    </w:p>
    <w:p w14:paraId="16068A0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.2采购代理机构：是指集中采购机构或从事采购代理业务的社会中介机构。</w:t>
      </w:r>
    </w:p>
    <w:p w14:paraId="639CC26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.3政府采购监督管理部门：各级人民政府指定的有关部门依法履行与政府采购活动有关的监督管理职责。</w:t>
      </w:r>
    </w:p>
    <w:p w14:paraId="1FB75BE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.4投标人：是指向采购人提供货物、工程或者服务的法人、</w:t>
      </w:r>
      <w:r>
        <w:rPr>
          <w:rFonts w:hint="eastAsia" w:ascii="宋体" w:hAnsi="宋体" w:eastAsia="宋体" w:cs="宋体"/>
          <w:color w:val="auto"/>
          <w:sz w:val="24"/>
          <w:highlight w:val="none"/>
          <w:lang w:val="en-US" w:eastAsia="zh-CN"/>
        </w:rPr>
        <w:t>其他</w:t>
      </w:r>
      <w:r>
        <w:rPr>
          <w:rFonts w:hint="eastAsia" w:ascii="宋体" w:hAnsi="宋体" w:eastAsia="宋体" w:cs="宋体"/>
          <w:color w:val="auto"/>
          <w:sz w:val="24"/>
          <w:highlight w:val="none"/>
        </w:rPr>
        <w:t>组织或者自然人。分支机构不得参加政府采购活动，但银行、保险、石油石化、电力、电信等特殊行业除外。本项目的投标人须满足以下条件：</w:t>
      </w:r>
    </w:p>
    <w:p w14:paraId="5B55B8F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具备《中华人民共和国政府采购法》第二十二条关于供应商条件的规定，遵守本项目采购人本级和上级财政部门政府采购的有关规定。</w:t>
      </w:r>
    </w:p>
    <w:p w14:paraId="2001162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以采购代理机构认可的方式获得了本项目的招标文件。</w:t>
      </w:r>
    </w:p>
    <w:p w14:paraId="5384AF9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4.</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若</w:t>
      </w:r>
      <w:r>
        <w:rPr>
          <w:rFonts w:hint="eastAsia" w:ascii="宋体" w:hAnsi="宋体" w:eastAsia="宋体" w:cs="宋体"/>
          <w:color w:val="auto"/>
          <w:sz w:val="24"/>
          <w:highlight w:val="none"/>
          <w:lang w:eastAsia="zh-CN"/>
        </w:rPr>
        <w:t>采购需求</w:t>
      </w:r>
      <w:r>
        <w:rPr>
          <w:rFonts w:hint="eastAsia" w:ascii="宋体" w:hAnsi="宋体" w:eastAsia="宋体" w:cs="宋体"/>
          <w:color w:val="auto"/>
          <w:sz w:val="24"/>
          <w:highlight w:val="none"/>
        </w:rPr>
        <w:t>中写明允许采购进口产品，投标人应保证所投产品可履行合法报通关手续进入中国关境内。</w:t>
      </w:r>
    </w:p>
    <w:p w14:paraId="5980259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若</w:t>
      </w:r>
      <w:r>
        <w:rPr>
          <w:rFonts w:hint="eastAsia" w:ascii="宋体" w:hAnsi="宋体" w:eastAsia="宋体" w:cs="宋体"/>
          <w:color w:val="auto"/>
          <w:sz w:val="24"/>
          <w:highlight w:val="none"/>
          <w:lang w:eastAsia="zh-CN"/>
        </w:rPr>
        <w:t>采购需求</w:t>
      </w:r>
      <w:r>
        <w:rPr>
          <w:rFonts w:hint="eastAsia" w:ascii="宋体" w:hAnsi="宋体" w:eastAsia="宋体" w:cs="宋体"/>
          <w:color w:val="auto"/>
          <w:sz w:val="24"/>
          <w:highlight w:val="none"/>
        </w:rPr>
        <w:t>中未写明允许采购进口产品，如投标人所投产品为进口产品，其投标将被认定为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F239813">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2.资金落实情况</w:t>
      </w:r>
    </w:p>
    <w:p w14:paraId="598282F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.1本项目的采购人已获得足以支付本次招标后所签订的合同项下的资金。</w:t>
      </w:r>
    </w:p>
    <w:p w14:paraId="63B33A4B">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3.投标费用</w:t>
      </w:r>
    </w:p>
    <w:p w14:paraId="7A06217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不论投标的结果如何，投标人应承担所有与准备和参加投标有关的费用。</w:t>
      </w:r>
    </w:p>
    <w:p w14:paraId="4913F77F">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4.适用法律</w:t>
      </w:r>
    </w:p>
    <w:p w14:paraId="1FC27823">
      <w:pPr>
        <w:spacing w:line="360" w:lineRule="auto"/>
        <w:ind w:firstLine="435"/>
        <w:rPr>
          <w:rFonts w:hint="eastAsia" w:ascii="宋体" w:hAnsi="宋体" w:eastAsia="宋体" w:cs="宋体"/>
          <w:b/>
          <w:color w:val="auto"/>
          <w:sz w:val="24"/>
          <w:highlight w:val="none"/>
          <w:lang w:val="en-US" w:eastAsia="zh-CN"/>
        </w:rPr>
      </w:pPr>
      <w:r>
        <w:rPr>
          <w:rFonts w:hint="eastAsia" w:ascii="宋体" w:hAnsi="宋体" w:eastAsia="宋体" w:cs="宋体"/>
          <w:color w:val="auto"/>
          <w:sz w:val="24"/>
          <w:highlight w:val="none"/>
        </w:rPr>
        <w:t>本项目采购人、采购代理机构、投标人、评标委员会的相关行为均受《中华人民共和国政府采购法》、《中华人民共和国政府采购法实施条例》</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本项目本级和上级财政部门、政府采购监督管理部门的政府采购有关规定的约束，其权利受到上述法律法规的保护。</w:t>
      </w:r>
    </w:p>
    <w:p w14:paraId="3181F015">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5.招标文件构成</w:t>
      </w:r>
    </w:p>
    <w:p w14:paraId="79B3048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.1招标文件包括下列内容：</w:t>
      </w:r>
    </w:p>
    <w:p w14:paraId="192081F4">
      <w:pPr>
        <w:spacing w:line="360" w:lineRule="auto"/>
        <w:ind w:firstLine="840" w:firstLineChars="3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第一章  投标邀请</w:t>
      </w:r>
    </w:p>
    <w:p w14:paraId="0BE42EA1">
      <w:pPr>
        <w:spacing w:line="360" w:lineRule="auto"/>
        <w:ind w:firstLine="840" w:firstLineChars="3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第二章  投标人须知</w:t>
      </w:r>
    </w:p>
    <w:p w14:paraId="51E5EFC3">
      <w:pPr>
        <w:spacing w:line="360" w:lineRule="auto"/>
        <w:ind w:firstLine="840" w:firstLineChars="3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第三章  采购需求</w:t>
      </w:r>
    </w:p>
    <w:p w14:paraId="41EE0F55">
      <w:pPr>
        <w:spacing w:line="360" w:lineRule="auto"/>
        <w:ind w:firstLine="840" w:firstLineChars="3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  评标方法和标准</w:t>
      </w:r>
    </w:p>
    <w:p w14:paraId="1CDA99F1">
      <w:pPr>
        <w:spacing w:line="360" w:lineRule="auto"/>
        <w:ind w:firstLine="840" w:firstLineChars="3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第五章  政府采购合同</w:t>
      </w:r>
    </w:p>
    <w:p w14:paraId="0A6F4B04">
      <w:pPr>
        <w:spacing w:line="360" w:lineRule="auto"/>
        <w:ind w:firstLine="840" w:firstLineChars="3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第六章  投标文件格式</w:t>
      </w:r>
    </w:p>
    <w:p w14:paraId="341F304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现场考察</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标前答疑会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及相关事项见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7056AB2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投标人应认真阅读招标文件所有的事项、格式、条款和技术规范等。</w:t>
      </w:r>
    </w:p>
    <w:p w14:paraId="42BC3D4A">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6.招标文件的澄清与修改</w:t>
      </w:r>
    </w:p>
    <w:p w14:paraId="310E44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.1投标人如对招标文件内容有疑问，必须在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规定的网上询问截止时间前以电子邮件提交给采购代理机构（邮箱：</w:t>
      </w:r>
      <w:r>
        <w:rPr>
          <w:rFonts w:hint="eastAsia" w:ascii="宋体" w:hAnsi="宋体" w:eastAsia="宋体" w:cs="宋体"/>
          <w:color w:val="auto"/>
          <w:sz w:val="24"/>
          <w:highlight w:val="none"/>
          <w:lang w:eastAsia="zh-CN"/>
        </w:rPr>
        <w:t>1182671189@qq.com</w:t>
      </w:r>
      <w:r>
        <w:rPr>
          <w:rFonts w:hint="eastAsia" w:ascii="宋体" w:hAnsi="宋体" w:eastAsia="宋体" w:cs="宋体"/>
          <w:color w:val="auto"/>
          <w:sz w:val="24"/>
          <w:highlight w:val="none"/>
        </w:rPr>
        <w:t>）。</w:t>
      </w:r>
    </w:p>
    <w:p w14:paraId="4BB205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.2采购人可主动地或在</w:t>
      </w:r>
      <w:r>
        <w:rPr>
          <w:rFonts w:hint="eastAsia" w:ascii="宋体" w:hAnsi="宋体" w:eastAsia="宋体" w:cs="宋体"/>
          <w:color w:val="auto"/>
          <w:sz w:val="24"/>
          <w:highlight w:val="none"/>
          <w:lang w:val="en-US" w:eastAsia="zh-CN"/>
        </w:rPr>
        <w:t>答复</w:t>
      </w:r>
      <w:r>
        <w:rPr>
          <w:rFonts w:hint="eastAsia" w:ascii="宋体" w:hAnsi="宋体" w:eastAsia="宋体" w:cs="宋体"/>
          <w:color w:val="auto"/>
          <w:sz w:val="24"/>
          <w:highlight w:val="none"/>
        </w:rPr>
        <w:t>投标人提出的</w:t>
      </w:r>
      <w:r>
        <w:rPr>
          <w:rFonts w:hint="eastAsia" w:ascii="宋体" w:hAnsi="宋体" w:eastAsia="宋体" w:cs="宋体"/>
          <w:color w:val="auto"/>
          <w:sz w:val="24"/>
          <w:highlight w:val="none"/>
          <w:lang w:val="en-US" w:eastAsia="zh-CN"/>
        </w:rPr>
        <w:t>询问</w:t>
      </w:r>
      <w:r>
        <w:rPr>
          <w:rFonts w:hint="eastAsia" w:ascii="宋体" w:hAnsi="宋体" w:eastAsia="宋体" w:cs="宋体"/>
          <w:color w:val="auto"/>
          <w:sz w:val="24"/>
          <w:highlight w:val="none"/>
        </w:rPr>
        <w:t>时对招标文件进行澄清与修改。采购代理机构将在</w:t>
      </w:r>
      <w:r>
        <w:rPr>
          <w:rFonts w:hint="eastAsia" w:ascii="宋体" w:hAnsi="宋体" w:eastAsia="宋体" w:cs="宋体"/>
          <w:color w:val="auto"/>
          <w:sz w:val="24"/>
          <w:highlight w:val="none"/>
          <w:lang w:val="en-US" w:eastAsia="zh-CN"/>
        </w:rPr>
        <w:t>滁州市疾病预防控制中心官网</w:t>
      </w:r>
      <w:r>
        <w:rPr>
          <w:rFonts w:hint="eastAsia" w:ascii="宋体" w:hAnsi="宋体" w:eastAsia="宋体" w:cs="宋体"/>
          <w:color w:val="auto"/>
          <w:sz w:val="24"/>
          <w:highlight w:val="none"/>
        </w:rPr>
        <w:t>以发布更正公告的方式，澄清或修改招标文件，更正公告的内容作为招标文件的组成部分，对投标人起约束作用。</w:t>
      </w:r>
    </w:p>
    <w:p w14:paraId="176A0D9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54C09A8C">
      <w:pPr>
        <w:spacing w:line="360" w:lineRule="auto"/>
        <w:ind w:firstLine="435"/>
        <w:rPr>
          <w:rFonts w:hint="eastAsia" w:ascii="宋体" w:hAnsi="宋体" w:eastAsia="宋体" w:cs="宋体"/>
          <w:i/>
          <w:iCs/>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.4对于没有提出疑问又参与了本项目投标的投标人将被视为完全认同本招标文件（含更正公告的内容）</w:t>
      </w:r>
      <w:r>
        <w:rPr>
          <w:rFonts w:hint="eastAsia" w:ascii="宋体" w:hAnsi="宋体" w:eastAsia="宋体" w:cs="宋体"/>
          <w:i/>
          <w:color w:val="auto"/>
          <w:sz w:val="24"/>
          <w:highlight w:val="none"/>
        </w:rPr>
        <w:t>。</w:t>
      </w:r>
    </w:p>
    <w:p w14:paraId="3A75824E">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7.投标范围及投标文件中标准和计量单位的使用</w:t>
      </w:r>
    </w:p>
    <w:p w14:paraId="65570C7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.1项目有分包的，投标人可对招标文件其中某一个或几个分包进行投标，除非在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中另有规定。</w:t>
      </w:r>
    </w:p>
    <w:p w14:paraId="2252ECD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.2投标人应当对所投分包招标文件中“采购需求”所列的所有内容进行投标，如仅响应所投包别中的部分内容，其所投包别的投标将被认定为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024998BF">
      <w:pPr>
        <w:spacing w:line="360" w:lineRule="auto"/>
        <w:ind w:firstLine="435"/>
        <w:rPr>
          <w:rFonts w:hint="eastAsia" w:ascii="宋体" w:hAnsi="宋体" w:eastAsia="宋体" w:cs="宋体"/>
          <w:color w:val="auto"/>
          <w:sz w:val="24"/>
          <w:highlight w:val="none"/>
        </w:rPr>
      </w:pPr>
      <w:bookmarkStart w:id="7" w:name="_Hlk16458980"/>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.3无论招标文件中是否要求，投标人所投货物及伴随的服务和工程均应符合国家强制性标准。</w:t>
      </w:r>
    </w:p>
    <w:bookmarkEnd w:id="7"/>
    <w:p w14:paraId="728F4C9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4投标人与采购代理机构之间与投标有关的所有往来通知、函件和投标文件均用中文表述。投标人随投标文件提供的证明文件和资料可以为其它语言，但必须附中文译文。翻译的中文资料与外文资料出现差异时，以中文为准。</w:t>
      </w:r>
    </w:p>
    <w:p w14:paraId="713E038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.5除招标文件中有特殊要求外，投标文件中所使用的计量单位，应采用中华人民共和国法定计量单位。</w:t>
      </w:r>
    </w:p>
    <w:p w14:paraId="7BD55486">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8</w:t>
      </w:r>
      <w:r>
        <w:rPr>
          <w:rFonts w:hint="eastAsia" w:ascii="宋体" w:hAnsi="宋体" w:eastAsia="宋体" w:cs="宋体"/>
          <w:b/>
          <w:color w:val="auto"/>
          <w:sz w:val="24"/>
          <w:highlight w:val="none"/>
        </w:rPr>
        <w:t>.投标文件构成</w:t>
      </w:r>
    </w:p>
    <w:p w14:paraId="757EE16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.1投标人应完整地按招标文件提供的投标文件格式及要求编写投标文件，具体内容详见本项目投标文件格式的相关内容。</w:t>
      </w:r>
    </w:p>
    <w:p w14:paraId="5CD30AA9">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8.2</w:t>
      </w:r>
      <w:r>
        <w:rPr>
          <w:rFonts w:hint="eastAsia" w:ascii="宋体" w:hAnsi="宋体" w:eastAsia="宋体" w:cs="宋体"/>
          <w:color w:val="auto"/>
          <w:sz w:val="24"/>
          <w:highlight w:val="none"/>
        </w:rPr>
        <w:t>投标人应提交招标文件要求的证明文件，证明其投标内容符合招标文件规定</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该证明文件是投标文件的一部分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证明文件</w:t>
      </w:r>
      <w:r>
        <w:rPr>
          <w:rFonts w:hint="eastAsia" w:ascii="宋体" w:hAnsi="宋体" w:eastAsia="宋体" w:cs="宋体"/>
          <w:color w:val="auto"/>
          <w:sz w:val="24"/>
          <w:highlight w:val="none"/>
          <w:lang w:val="en-US" w:eastAsia="zh-CN"/>
        </w:rPr>
        <w:t>形式</w:t>
      </w:r>
      <w:r>
        <w:rPr>
          <w:rFonts w:hint="eastAsia" w:ascii="宋体" w:hAnsi="宋体" w:eastAsia="宋体" w:cs="宋体"/>
          <w:color w:val="auto"/>
          <w:sz w:val="24"/>
          <w:highlight w:val="none"/>
        </w:rPr>
        <w:t>可以是文字资料、图纸和数据</w:t>
      </w:r>
      <w:bookmarkStart w:id="8" w:name="_Hlk11703583"/>
      <w:r>
        <w:rPr>
          <w:rFonts w:hint="eastAsia" w:ascii="宋体" w:hAnsi="宋体" w:eastAsia="宋体" w:cs="宋体"/>
          <w:color w:val="auto"/>
          <w:sz w:val="24"/>
          <w:highlight w:val="none"/>
          <w:lang w:val="en-US" w:eastAsia="zh-CN"/>
        </w:rPr>
        <w:t>等。</w:t>
      </w:r>
    </w:p>
    <w:bookmarkEnd w:id="8"/>
    <w:p w14:paraId="181E98A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8.3</w:t>
      </w:r>
      <w:r>
        <w:rPr>
          <w:rFonts w:hint="eastAsia" w:ascii="宋体" w:hAnsi="宋体" w:eastAsia="宋体" w:cs="宋体"/>
          <w:color w:val="auto"/>
          <w:sz w:val="24"/>
          <w:highlight w:val="none"/>
        </w:rPr>
        <w:t>为保证公平公正，除非另有规定或说明，投标人对同一项目投标时，不得同时提供备选投标方案。</w:t>
      </w:r>
    </w:p>
    <w:p w14:paraId="737F0A0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9</w:t>
      </w:r>
      <w:r>
        <w:rPr>
          <w:rFonts w:hint="eastAsia" w:ascii="宋体" w:hAnsi="宋体" w:eastAsia="宋体" w:cs="宋体"/>
          <w:b/>
          <w:color w:val="auto"/>
          <w:sz w:val="24"/>
          <w:highlight w:val="none"/>
        </w:rPr>
        <w:t>.投标报价</w:t>
      </w:r>
    </w:p>
    <w:p w14:paraId="27ECF4F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.1投标人的报价应当包括满足本次招标全部采购需求。</w:t>
      </w:r>
      <w:r>
        <w:rPr>
          <w:rFonts w:hint="eastAsia" w:ascii="宋体" w:hAnsi="宋体" w:eastAsia="宋体" w:cs="宋体"/>
          <w:color w:val="auto"/>
          <w:sz w:val="24"/>
          <w:highlight w:val="none"/>
          <w:lang w:val="en-US" w:eastAsia="zh-CN"/>
        </w:rPr>
        <w:t>除招标文件另有规定外，</w:t>
      </w:r>
      <w:r>
        <w:rPr>
          <w:rFonts w:hint="eastAsia" w:ascii="宋体" w:hAnsi="宋体" w:eastAsia="宋体" w:cs="宋体"/>
          <w:color w:val="auto"/>
          <w:sz w:val="24"/>
          <w:highlight w:val="none"/>
        </w:rPr>
        <w:t>所有投标均应以人民币报价。投标人的投标报价应遵守《中华人民共和国价格法》。</w:t>
      </w:r>
    </w:p>
    <w:p w14:paraId="6F4F469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.2投标人报价超过招标文件规定的预算金额或者分项、分包最高限价，其投标将被认定为</w:t>
      </w:r>
      <w:r>
        <w:rPr>
          <w:rFonts w:hint="eastAsia" w:ascii="宋体" w:hAnsi="宋体" w:eastAsia="宋体" w:cs="宋体"/>
          <w:b/>
          <w:bCs/>
          <w:color w:val="auto"/>
          <w:sz w:val="24"/>
          <w:highlight w:val="none"/>
        </w:rPr>
        <w:t>投标无效</w:t>
      </w:r>
      <w:r>
        <w:rPr>
          <w:rFonts w:hint="eastAsia" w:ascii="宋体" w:hAnsi="宋体" w:eastAsia="宋体" w:cs="宋体"/>
          <w:color w:val="auto"/>
          <w:sz w:val="24"/>
          <w:highlight w:val="none"/>
        </w:rPr>
        <w:t>。</w:t>
      </w:r>
    </w:p>
    <w:p w14:paraId="6993D4A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投标报价在合同履行过程中是固定不变的，不得以任何理由予以变更。任何包含价格调整要求的投标，其投标将被认定为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650229F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评标委员会认为投标人的报价明显低于其他通过符合性审查投标人的报价，有可能影响产品质量或者不能诚信履约的，应当要求其在合理的时间内提供书面说明，必要时提交相关证明材料；投标人不能证明其报价合理性的，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785BD9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采购人不接受具有附加条件的报价。</w:t>
      </w:r>
    </w:p>
    <w:p w14:paraId="24608A51">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0</w:t>
      </w:r>
      <w:r>
        <w:rPr>
          <w:rFonts w:hint="eastAsia" w:ascii="宋体" w:hAnsi="宋体" w:eastAsia="宋体" w:cs="宋体"/>
          <w:b/>
          <w:color w:val="auto"/>
          <w:sz w:val="24"/>
          <w:highlight w:val="none"/>
        </w:rPr>
        <w:t>.投标保证金</w:t>
      </w:r>
    </w:p>
    <w:p w14:paraId="7CD7787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.1本项目不收取投标保证金。</w:t>
      </w:r>
    </w:p>
    <w:p w14:paraId="50AE813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.投标有效期</w:t>
      </w:r>
    </w:p>
    <w:p w14:paraId="7C316B4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.1投标有效期为从投标截止之日算起的日历天数，投标有效期详见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76D33DE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.2在投标有效期内，投标人的投标保持有效，投标人不得要求撤销或修改其投标文件。投标有效期不满足要求的投标，其投标将被认定为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512A2CD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36F43428">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.投标文件的递交、修改与撤回</w:t>
      </w:r>
    </w:p>
    <w:p w14:paraId="0B52E54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.1投标人应当在</w:t>
      </w:r>
      <w:r>
        <w:rPr>
          <w:rFonts w:hint="eastAsia" w:ascii="宋体" w:hAnsi="宋体" w:eastAsia="宋体" w:cs="宋体"/>
          <w:color w:val="auto"/>
          <w:sz w:val="24"/>
          <w:highlight w:val="none"/>
          <w:lang w:val="en-US" w:eastAsia="zh-CN"/>
        </w:rPr>
        <w:t>招标公告</w:t>
      </w:r>
      <w:r>
        <w:rPr>
          <w:rFonts w:hint="eastAsia" w:ascii="宋体" w:hAnsi="宋体" w:eastAsia="宋体" w:cs="宋体"/>
          <w:color w:val="auto"/>
          <w:sz w:val="24"/>
          <w:highlight w:val="none"/>
        </w:rPr>
        <w:t>规定的投标截止时间前</w:t>
      </w:r>
      <w:r>
        <w:rPr>
          <w:rFonts w:hint="eastAsia" w:ascii="宋体" w:hAnsi="宋体" w:eastAsia="宋体" w:cs="宋体"/>
          <w:color w:val="auto"/>
          <w:sz w:val="24"/>
          <w:highlight w:val="none"/>
          <w:lang w:val="en-US" w:eastAsia="zh-CN"/>
        </w:rPr>
        <w:t>递交投标文件</w:t>
      </w:r>
      <w:r>
        <w:rPr>
          <w:rFonts w:hint="eastAsia" w:ascii="宋体" w:hAnsi="宋体" w:eastAsia="宋体" w:cs="宋体"/>
          <w:color w:val="auto"/>
          <w:sz w:val="24"/>
          <w:highlight w:val="none"/>
        </w:rPr>
        <w:t>。</w:t>
      </w:r>
    </w:p>
    <w:p w14:paraId="25F55A5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.2投标人应当在投标截止时间前完成投标文件的</w:t>
      </w:r>
      <w:r>
        <w:rPr>
          <w:rFonts w:hint="eastAsia" w:ascii="宋体" w:hAnsi="宋体" w:eastAsia="宋体" w:cs="宋体"/>
          <w:color w:val="auto"/>
          <w:sz w:val="24"/>
          <w:highlight w:val="none"/>
          <w:lang w:val="en-US" w:eastAsia="zh-CN"/>
        </w:rPr>
        <w:t>递交</w:t>
      </w:r>
      <w:r>
        <w:rPr>
          <w:rFonts w:hint="eastAsia" w:ascii="宋体" w:hAnsi="宋体" w:eastAsia="宋体" w:cs="宋体"/>
          <w:color w:val="auto"/>
          <w:sz w:val="24"/>
          <w:highlight w:val="none"/>
        </w:rPr>
        <w:t>，并可以补充、修改或者撤回投标文件。投标截止时间前未完成投标文件</w:t>
      </w:r>
      <w:r>
        <w:rPr>
          <w:rFonts w:hint="eastAsia" w:ascii="宋体" w:hAnsi="宋体" w:eastAsia="宋体" w:cs="宋体"/>
          <w:color w:val="auto"/>
          <w:sz w:val="24"/>
          <w:highlight w:val="none"/>
          <w:lang w:val="en-US" w:eastAsia="zh-CN"/>
        </w:rPr>
        <w:t>递交</w:t>
      </w:r>
      <w:r>
        <w:rPr>
          <w:rFonts w:hint="eastAsia" w:ascii="宋体" w:hAnsi="宋体" w:eastAsia="宋体" w:cs="宋体"/>
          <w:color w:val="auto"/>
          <w:sz w:val="24"/>
          <w:highlight w:val="none"/>
        </w:rPr>
        <w:t>的，视为撤回投标文件。未按规定投标截止时间后送达的投标文件，应当拒收。</w:t>
      </w:r>
    </w:p>
    <w:p w14:paraId="772ABDB8">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.开标</w:t>
      </w:r>
    </w:p>
    <w:p w14:paraId="1416D78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开标时，采购代理机构将公布开标结果，公布内容包括投标人名称、投标价格及招标文件规定的内容。</w:t>
      </w:r>
    </w:p>
    <w:p w14:paraId="72B40D4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采购人或采购代理机构将对开标过程进行记录，由参加开标的各投标人代表和相关工作人员签字确认，并存档备查。</w:t>
      </w:r>
    </w:p>
    <w:p w14:paraId="58F549E5">
      <w:pPr>
        <w:spacing w:line="360" w:lineRule="auto"/>
        <w:ind w:firstLine="435"/>
        <w:rPr>
          <w:rFonts w:hint="eastAsia" w:ascii="宋体" w:hAnsi="宋体" w:eastAsia="宋体" w:cs="宋体"/>
          <w:color w:val="auto"/>
          <w:sz w:val="28"/>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投标人代表对开标过程和开标记录有疑义，以及认为采购人、采购代理机构相关工作人员有需要回避的情形的，应当场提出询问或者回避申请。</w:t>
      </w:r>
    </w:p>
    <w:p w14:paraId="198D20D4">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.资格审查</w:t>
      </w:r>
    </w:p>
    <w:p w14:paraId="400B0FB6">
      <w:pPr>
        <w:spacing w:line="360" w:lineRule="auto"/>
        <w:ind w:firstLine="435"/>
        <w:rPr>
          <w:rFonts w:hint="eastAsia" w:ascii="宋体" w:hAnsi="宋体" w:eastAsia="宋体" w:cs="宋体"/>
          <w:b/>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.1采购人或采购代理机构依据法律法规和招标文件中规定的内容，对投标人资格进行审查，未通过资格审查的投标人不进入评标。</w:t>
      </w:r>
    </w:p>
    <w:p w14:paraId="311083E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15</w:t>
      </w:r>
      <w:r>
        <w:rPr>
          <w:rFonts w:hint="eastAsia" w:ascii="宋体" w:hAnsi="宋体" w:eastAsia="宋体" w:cs="宋体"/>
          <w:b/>
          <w:color w:val="auto"/>
          <w:sz w:val="24"/>
          <w:highlight w:val="none"/>
        </w:rPr>
        <w:t>.投标文件符合性审查与澄清</w:t>
      </w:r>
    </w:p>
    <w:p w14:paraId="5FA24BC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.1符合性审查是指依据招标文件的规定，从投标文件的有效性和完整性对招标文件的响应程度进行审查，以确定是否对招标文件的实质性要求做出响应。</w:t>
      </w:r>
    </w:p>
    <w:p w14:paraId="214E10E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投标文件的澄清</w:t>
      </w:r>
    </w:p>
    <w:p w14:paraId="7B113A4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作必要的澄清、说明或补正。投标人的澄清、说明或补正应在评标委员会规定的时间内以书面方式进行，并不得超出投标文件范围或者改变投标文件的实质性内容。</w:t>
      </w:r>
    </w:p>
    <w:p w14:paraId="454667E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如有询标，投标人授权代表（或法定代表人）</w:t>
      </w:r>
      <w:r>
        <w:rPr>
          <w:rFonts w:hint="eastAsia" w:ascii="宋体" w:hAnsi="宋体" w:eastAsia="宋体" w:cs="宋体"/>
          <w:color w:val="auto"/>
          <w:sz w:val="24"/>
          <w:highlight w:val="none"/>
          <w:lang w:val="en-US" w:eastAsia="zh-CN"/>
        </w:rPr>
        <w:t>可</w:t>
      </w:r>
      <w:r>
        <w:rPr>
          <w:rFonts w:hint="eastAsia" w:ascii="宋体" w:hAnsi="宋体" w:eastAsia="宋体" w:cs="宋体"/>
          <w:color w:val="auto"/>
          <w:sz w:val="24"/>
          <w:highlight w:val="none"/>
        </w:rPr>
        <w:t>接受网上询标，也可凭本人有效身份证明参加询标。因投标人授权代表联系不上、没有及时</w:t>
      </w:r>
      <w:r>
        <w:rPr>
          <w:rFonts w:hint="eastAsia" w:ascii="宋体" w:hAnsi="宋体" w:eastAsia="宋体" w:cs="宋体"/>
          <w:color w:val="auto"/>
          <w:sz w:val="24"/>
          <w:highlight w:val="none"/>
          <w:lang w:val="en-US" w:eastAsia="zh-CN"/>
        </w:rPr>
        <w:t>到场</w:t>
      </w:r>
      <w:r>
        <w:rPr>
          <w:rFonts w:hint="eastAsia" w:ascii="宋体" w:hAnsi="宋体" w:eastAsia="宋体" w:cs="宋体"/>
          <w:color w:val="auto"/>
          <w:sz w:val="24"/>
          <w:highlight w:val="none"/>
        </w:rPr>
        <w:t>等情形而无法接受评标委员会询标的，投标人自行承担相关风险。</w:t>
      </w:r>
    </w:p>
    <w:p w14:paraId="0122812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15.</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.2投标人的澄清、说明或补正将作为投标文件的一部分。</w:t>
      </w:r>
    </w:p>
    <w:p w14:paraId="3DA466E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15.</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.3评标委员会对投标人提交的澄清、说明或补正有疑问的，可以要求投标人进一步澄清、说明或补正，直至满足评标委员会的要求。</w:t>
      </w:r>
    </w:p>
    <w:p w14:paraId="53428F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15.</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投标文件报价出现前后不一致的，按照下列规定修正：</w:t>
      </w:r>
    </w:p>
    <w:p w14:paraId="3C57B1F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（1）投标文件中开标一览表内容与投标文件中相应内容不一致的，以开标一览表为准；</w:t>
      </w:r>
    </w:p>
    <w:p w14:paraId="74909C4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（2）大写金额和小写金额不一致的，以大写金额为准；</w:t>
      </w:r>
    </w:p>
    <w:p w14:paraId="7F40798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（3）单价金额小数点或者百分比有明显错位的，以开标一览表的总价为准，并修改单价；</w:t>
      </w:r>
    </w:p>
    <w:p w14:paraId="74806E4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（4）总价金额与按单价汇总金额不一致的，以单价金额计算结果为准。</w:t>
      </w:r>
    </w:p>
    <w:p w14:paraId="15F1CAB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同时出现两种以上不一致的，按照前款规定的顺序修正。修正后的报价按照第</w:t>
      </w:r>
      <w:r>
        <w:rPr>
          <w:rFonts w:hint="eastAsia" w:ascii="宋体" w:hAnsi="宋体" w:eastAsia="宋体" w:cs="宋体"/>
          <w:color w:val="auto"/>
          <w:sz w:val="24"/>
          <w:highlight w:val="none"/>
          <w:lang w:eastAsia="zh-CN"/>
        </w:rPr>
        <w:t>15.</w:t>
      </w:r>
      <w:r>
        <w:rPr>
          <w:rFonts w:hint="eastAsia" w:ascii="宋体" w:hAnsi="宋体" w:eastAsia="宋体" w:cs="宋体"/>
          <w:color w:val="auto"/>
          <w:sz w:val="24"/>
          <w:highlight w:val="none"/>
        </w:rPr>
        <w:t>4条的规定经投标人确认后产生约束力，投标人不确认的，其投标将被认定为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8D7DD48">
      <w:pPr>
        <w:spacing w:line="360" w:lineRule="auto"/>
        <w:ind w:firstLine="435"/>
        <w:rPr>
          <w:rFonts w:hint="eastAsia" w:ascii="宋体" w:hAnsi="宋体" w:eastAsia="宋体" w:cs="宋体"/>
          <w:b/>
          <w:color w:val="auto"/>
          <w:sz w:val="24"/>
          <w:highlight w:val="none"/>
        </w:rPr>
      </w:pPr>
      <w:r>
        <w:rPr>
          <w:rFonts w:hint="eastAsia" w:ascii="宋体" w:hAnsi="宋体" w:eastAsia="宋体" w:cs="宋体"/>
          <w:color w:val="auto"/>
          <w:sz w:val="24"/>
          <w:highlight w:val="none"/>
        </w:rPr>
        <w:t>对不同文字文本投标文件的解释发生异议的，以中文文本为准。</w:t>
      </w:r>
    </w:p>
    <w:p w14:paraId="3F827B2A">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16.</w:t>
      </w:r>
      <w:r>
        <w:rPr>
          <w:rFonts w:hint="eastAsia" w:ascii="宋体" w:hAnsi="宋体" w:eastAsia="宋体" w:cs="宋体"/>
          <w:b/>
          <w:color w:val="auto"/>
          <w:sz w:val="24"/>
          <w:highlight w:val="none"/>
        </w:rPr>
        <w:t>投标无效</w:t>
      </w:r>
    </w:p>
    <w:p w14:paraId="67A534A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16.</w:t>
      </w:r>
      <w:r>
        <w:rPr>
          <w:rFonts w:hint="eastAsia" w:ascii="宋体" w:hAnsi="宋体" w:eastAsia="宋体" w:cs="宋体"/>
          <w:color w:val="auto"/>
          <w:sz w:val="24"/>
          <w:highlight w:val="none"/>
        </w:rPr>
        <w:t>1根据本招标文件的规定，评标委员会要审查每份投标文件是否实质上响应了招标文件的要求。投标人不得通过修正或撤销不符合要求的偏离，从而使其投标成为实质上响应的投标。</w:t>
      </w:r>
    </w:p>
    <w:p w14:paraId="19A91A1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评标委员会决定投标的响应性只根据招标文件要求和投标文件内容。</w:t>
      </w:r>
    </w:p>
    <w:p w14:paraId="46E9FB0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无论何种原因，即使投标人投标时携带了证书材料的原件，但投标文件中未提供与之内容完全一致的扫描件的，评标委员会视同其未提供。</w:t>
      </w:r>
    </w:p>
    <w:p w14:paraId="0ECFD16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16.</w:t>
      </w:r>
      <w:r>
        <w:rPr>
          <w:rFonts w:hint="eastAsia" w:ascii="宋体" w:hAnsi="宋体" w:eastAsia="宋体" w:cs="宋体"/>
          <w:color w:val="auto"/>
          <w:sz w:val="24"/>
          <w:highlight w:val="none"/>
        </w:rPr>
        <w:t>2如发现下列情况之一的，其投标将被认定为</w:t>
      </w:r>
      <w:r>
        <w:rPr>
          <w:rFonts w:hint="eastAsia" w:ascii="宋体" w:hAnsi="宋体" w:eastAsia="宋体" w:cs="宋体"/>
          <w:b/>
          <w:color w:val="auto"/>
          <w:sz w:val="24"/>
          <w:highlight w:val="none"/>
        </w:rPr>
        <w:t>投标无效</w:t>
      </w:r>
      <w:r>
        <w:rPr>
          <w:rFonts w:hint="eastAsia" w:ascii="宋体" w:hAnsi="宋体" w:eastAsia="宋体" w:cs="宋体"/>
          <w:color w:val="auto"/>
          <w:sz w:val="24"/>
          <w:highlight w:val="none"/>
        </w:rPr>
        <w:t>：</w:t>
      </w:r>
    </w:p>
    <w:p w14:paraId="385C60F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（1）投标文件未按照招标文件规定要求签署、盖章的；</w:t>
      </w:r>
    </w:p>
    <w:p w14:paraId="624F8ED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（2）不具备招标文件中规定的资格要求的；</w:t>
      </w:r>
    </w:p>
    <w:p w14:paraId="465AD88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（3）报价超过招标文件中规定的预算金额或者最高限价的；</w:t>
      </w:r>
    </w:p>
    <w:p w14:paraId="1978A4B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（4）投标文件含有采购人不能接受的附加条件的；</w:t>
      </w:r>
    </w:p>
    <w:p w14:paraId="35BEE6BE">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（5）法律、法规和招标文件规定的其他无效情形。</w:t>
      </w:r>
    </w:p>
    <w:p w14:paraId="64BCFFB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eastAsia="zh-CN"/>
        </w:rPr>
        <w:t>17.</w:t>
      </w:r>
      <w:r>
        <w:rPr>
          <w:rFonts w:hint="eastAsia" w:ascii="宋体" w:hAnsi="宋体" w:eastAsia="宋体" w:cs="宋体"/>
          <w:b/>
          <w:color w:val="auto"/>
          <w:sz w:val="24"/>
          <w:highlight w:val="none"/>
        </w:rPr>
        <w:t>比较与评价</w:t>
      </w:r>
    </w:p>
    <w:p w14:paraId="5E13D0D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17.</w:t>
      </w:r>
      <w:r>
        <w:rPr>
          <w:rFonts w:hint="eastAsia" w:ascii="宋体" w:hAnsi="宋体" w:eastAsia="宋体" w:cs="宋体"/>
          <w:color w:val="auto"/>
          <w:sz w:val="24"/>
          <w:highlight w:val="none"/>
        </w:rPr>
        <w:t>1经符合性审查合格的投标文件，评标委员会将根据招标文件确定的评标方法和标准，对其投标文件作进一步的比较与评价。</w:t>
      </w:r>
    </w:p>
    <w:p w14:paraId="76EF3C68">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17.</w:t>
      </w:r>
      <w:r>
        <w:rPr>
          <w:rFonts w:hint="eastAsia" w:ascii="宋体" w:hAnsi="宋体" w:eastAsia="宋体" w:cs="宋体"/>
          <w:color w:val="auto"/>
          <w:sz w:val="24"/>
          <w:highlight w:val="none"/>
        </w:rPr>
        <w:t>2评标严格按照招标文件的要求和条件进行。根据实际情况，在</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中规定采用下列一种评标方法，详细评标方法和标准见招标文件第四章：</w:t>
      </w:r>
    </w:p>
    <w:p w14:paraId="2D052C9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（1）最低评标价法，是指投标文件满足招标文件全部实质性要求，且投标报价最低的投标人为中标候选人的评标方法。</w:t>
      </w:r>
    </w:p>
    <w:p w14:paraId="445B81B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（2）综合评分法，是指投标文件满足招标文件全部实质性要求，且按照评审因素的量化指标评审得分最高的投标人为中标候选人的评标方法。</w:t>
      </w:r>
    </w:p>
    <w:p w14:paraId="0FF5DFE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18</w:t>
      </w:r>
      <w:r>
        <w:rPr>
          <w:rFonts w:hint="eastAsia" w:ascii="宋体" w:hAnsi="宋体" w:eastAsia="宋体" w:cs="宋体"/>
          <w:b/>
          <w:color w:val="auto"/>
          <w:sz w:val="24"/>
          <w:highlight w:val="none"/>
        </w:rPr>
        <w:t>.废标、重新招标与变更采购方式</w:t>
      </w:r>
    </w:p>
    <w:p w14:paraId="49D7CE8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.1出现下列情形之一，将导致项目废标：</w:t>
      </w:r>
    </w:p>
    <w:p w14:paraId="51E432F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（1）符合专业条件的供应商或者对招标文件做实质性响应的供应商不足规定数量的；</w:t>
      </w:r>
    </w:p>
    <w:p w14:paraId="2E9E47F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（2）出现影响采购公正的违法、违规行为的；</w:t>
      </w:r>
    </w:p>
    <w:p w14:paraId="4FCA98E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（3）投标人的报价均超过了采购预算，采购人不能支付的；</w:t>
      </w:r>
    </w:p>
    <w:p w14:paraId="284F82B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（4）因重大变故，采购任务取消的。</w:t>
      </w:r>
    </w:p>
    <w:p w14:paraId="2DE51C9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.2公开招标数额标准以上的采购项目，投标截止后投标人不足3家或者通过资格审查或符合性审查的投标人不足3家的，除采购任务取消情形外，按照以下方式处理：</w:t>
      </w:r>
    </w:p>
    <w:p w14:paraId="38D82BA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（1）招标文件存在不合理条款或者招标程序不符合规定的，采购人、采购代理机构改正后依法重新招标；</w:t>
      </w:r>
    </w:p>
    <w:p w14:paraId="2B71402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宋体" w:hAnsi="宋体" w:eastAsia="宋体" w:cs="宋体"/>
          <w:color w:val="auto"/>
          <w:sz w:val="24"/>
          <w:highlight w:val="none"/>
        </w:rPr>
        <w:t>批准。</w:t>
      </w:r>
    </w:p>
    <w:p w14:paraId="64A15A8E">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19</w:t>
      </w:r>
      <w:r>
        <w:rPr>
          <w:rFonts w:hint="eastAsia" w:ascii="宋体" w:hAnsi="宋体" w:eastAsia="宋体" w:cs="宋体"/>
          <w:b/>
          <w:color w:val="auto"/>
          <w:sz w:val="24"/>
          <w:highlight w:val="none"/>
        </w:rPr>
        <w:t>.保密要求</w:t>
      </w:r>
    </w:p>
    <w:p w14:paraId="2E34B3A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19</w:t>
      </w:r>
      <w:r>
        <w:rPr>
          <w:rFonts w:hint="eastAsia" w:ascii="宋体" w:hAnsi="宋体" w:eastAsia="宋体" w:cs="宋体"/>
          <w:color w:val="auto"/>
          <w:sz w:val="24"/>
          <w:highlight w:val="none"/>
        </w:rPr>
        <w:t>.1评标将在严格保密的情况下进行。</w:t>
      </w:r>
    </w:p>
    <w:p w14:paraId="64724ED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19</w:t>
      </w:r>
      <w:r>
        <w:rPr>
          <w:rFonts w:hint="eastAsia" w:ascii="宋体" w:hAnsi="宋体" w:eastAsia="宋体" w:cs="宋体"/>
          <w:color w:val="auto"/>
          <w:sz w:val="24"/>
          <w:highlight w:val="none"/>
        </w:rPr>
        <w:t>.2有关人员应当遵守评标工作纪律，不得泄露评标文件、评标情况和评标中获悉的国家秘密、商业秘密。</w:t>
      </w:r>
    </w:p>
    <w:p w14:paraId="01B9B227">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0</w:t>
      </w:r>
      <w:r>
        <w:rPr>
          <w:rFonts w:hint="eastAsia" w:ascii="宋体" w:hAnsi="宋体" w:eastAsia="宋体" w:cs="宋体"/>
          <w:b/>
          <w:color w:val="auto"/>
          <w:sz w:val="24"/>
          <w:highlight w:val="none"/>
        </w:rPr>
        <w:t>.中标候选人的确定原则及标准</w:t>
      </w:r>
    </w:p>
    <w:p w14:paraId="05FA4C06">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.1评标委员会依据本项目招标文件所约定的评标方法，对实质上响应招标文件的投标人按下列方法进行排序，确定中标候选人：</w:t>
      </w:r>
    </w:p>
    <w:p w14:paraId="530D71CB">
      <w:pPr>
        <w:spacing w:line="360" w:lineRule="auto"/>
        <w:ind w:firstLine="736" w:firstLineChars="307"/>
        <w:rPr>
          <w:rFonts w:hint="eastAsia" w:ascii="宋体" w:hAnsi="宋体" w:eastAsia="宋体" w:cs="宋体"/>
          <w:color w:val="auto"/>
          <w:sz w:val="24"/>
          <w:highlight w:val="none"/>
        </w:rPr>
      </w:pPr>
      <w:r>
        <w:rPr>
          <w:rFonts w:hint="eastAsia" w:ascii="宋体" w:hAnsi="宋体" w:eastAsia="宋体" w:cs="宋体"/>
          <w:color w:val="auto"/>
          <w:sz w:val="24"/>
          <w:highlight w:val="none"/>
        </w:rPr>
        <w:t>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2C01F50C">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.确定中标候选人和中标人</w:t>
      </w:r>
    </w:p>
    <w:p w14:paraId="3C39633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.1评标委员会将根据评标标准，按</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中规定数量推荐中标候选人。</w:t>
      </w:r>
    </w:p>
    <w:p w14:paraId="5F0ACBB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.2按</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中规定，由评标委员会或采购人确定中标人。</w:t>
      </w:r>
    </w:p>
    <w:p w14:paraId="1944BB0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.3因重大变故采购任务取消时，采购人有权拒绝任何投标人中标，且对受影响的投标人不承担任何责任。</w:t>
      </w:r>
    </w:p>
    <w:p w14:paraId="3240EAD4">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.编写评标报告</w:t>
      </w:r>
    </w:p>
    <w:p w14:paraId="614A5AD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4C7AB12D">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.中标结果公告</w:t>
      </w:r>
    </w:p>
    <w:p w14:paraId="76ECD60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.1除</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49B4158A">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w:t>
      </w:r>
      <w:r>
        <w:rPr>
          <w:rFonts w:hint="eastAsia" w:ascii="宋体" w:hAnsi="宋体" w:eastAsia="宋体" w:cs="宋体"/>
          <w:color w:val="auto"/>
          <w:sz w:val="24"/>
          <w:szCs w:val="18"/>
          <w:highlight w:val="none"/>
        </w:rPr>
        <w:t>自中标人确定之日起2个工作日内，采购</w:t>
      </w:r>
      <w:r>
        <w:rPr>
          <w:rFonts w:hint="eastAsia" w:ascii="宋体" w:hAnsi="宋体" w:eastAsia="宋体" w:cs="宋体"/>
          <w:color w:val="auto"/>
          <w:sz w:val="24"/>
          <w:szCs w:val="18"/>
          <w:highlight w:val="none"/>
          <w:lang w:val="en-US" w:eastAsia="zh-CN"/>
        </w:rPr>
        <w:t>人</w:t>
      </w:r>
      <w:r>
        <w:rPr>
          <w:rFonts w:hint="eastAsia" w:ascii="宋体" w:hAnsi="宋体" w:eastAsia="宋体" w:cs="宋体"/>
          <w:color w:val="auto"/>
          <w:sz w:val="24"/>
          <w:szCs w:val="18"/>
          <w:highlight w:val="none"/>
        </w:rPr>
        <w:t>将在</w:t>
      </w:r>
      <w:r>
        <w:rPr>
          <w:rFonts w:hint="eastAsia" w:ascii="宋体" w:hAnsi="宋体" w:eastAsia="宋体" w:cs="宋体"/>
          <w:color w:val="auto"/>
          <w:sz w:val="24"/>
          <w:szCs w:val="18"/>
          <w:highlight w:val="none"/>
          <w:lang w:val="en-US" w:eastAsia="zh-CN"/>
        </w:rPr>
        <w:t>滁州市疾病预防控制中心官网</w:t>
      </w:r>
      <w:r>
        <w:rPr>
          <w:rFonts w:hint="eastAsia" w:ascii="宋体" w:hAnsi="宋体" w:eastAsia="宋体" w:cs="宋体"/>
          <w:color w:val="auto"/>
          <w:sz w:val="24"/>
          <w:szCs w:val="18"/>
          <w:highlight w:val="none"/>
        </w:rPr>
        <w:t>上发布中标结果公告。</w:t>
      </w:r>
    </w:p>
    <w:p w14:paraId="42F9307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3中标结果公告内容应当包括采购人及其委托的采购代理机构的名称、地址、联系方式，项目名称和项目编号，中标人名称、地址和中标金额，主要中标标的的名称、规格型号、数量、单价、服务要求，中标公告期限、以及</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中约定进行公告的内容。中标公告期限为1个工作日。</w:t>
      </w:r>
    </w:p>
    <w:p w14:paraId="75F1B1E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.中标通知书</w:t>
      </w:r>
    </w:p>
    <w:p w14:paraId="549A53E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.1采购代理机构发布中标结果公告</w:t>
      </w:r>
      <w:r>
        <w:rPr>
          <w:rFonts w:hint="eastAsia" w:ascii="宋体" w:hAnsi="宋体" w:eastAsia="宋体" w:cs="宋体"/>
          <w:iCs/>
          <w:color w:val="auto"/>
          <w:sz w:val="24"/>
          <w:highlight w:val="none"/>
        </w:rPr>
        <w:t>的</w:t>
      </w:r>
      <w:r>
        <w:rPr>
          <w:rFonts w:hint="eastAsia" w:ascii="宋体" w:hAnsi="宋体" w:eastAsia="宋体" w:cs="宋体"/>
          <w:color w:val="auto"/>
          <w:sz w:val="24"/>
          <w:highlight w:val="none"/>
        </w:rPr>
        <w:t>同时以</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规定的形式向中标人发出中标通知书。</w:t>
      </w:r>
    </w:p>
    <w:p w14:paraId="35455A1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.2中标通知书对采购人和中标人具有同等法律效力。中标通知书发出以后，采购人改变中标结果或者中标人放弃中标，应当承担相应的法律责任。</w:t>
      </w:r>
    </w:p>
    <w:p w14:paraId="3AC107B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.3中标通知书是合同的组成部分。</w:t>
      </w:r>
    </w:p>
    <w:p w14:paraId="6FA087A2">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25</w:t>
      </w:r>
      <w:r>
        <w:rPr>
          <w:rFonts w:hint="eastAsia" w:ascii="宋体" w:hAnsi="宋体" w:eastAsia="宋体" w:cs="宋体"/>
          <w:b/>
          <w:color w:val="auto"/>
          <w:sz w:val="24"/>
          <w:highlight w:val="none"/>
        </w:rPr>
        <w:t>.告知招标结果</w:t>
      </w:r>
    </w:p>
    <w:p w14:paraId="23C39E2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25</w:t>
      </w:r>
      <w:r>
        <w:rPr>
          <w:rFonts w:hint="eastAsia" w:ascii="宋体" w:hAnsi="宋体" w:eastAsia="宋体" w:cs="宋体"/>
          <w:color w:val="auto"/>
          <w:sz w:val="24"/>
          <w:highlight w:val="none"/>
        </w:rPr>
        <w:t>.1在公告中标结果的同时，采购代理机构同时以</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规定的形式告知未通过资格审查的投标人未通过的原因；采用综合评分法评审的，还将告知未中标人本人的评审得分和排序。</w:t>
      </w:r>
    </w:p>
    <w:p w14:paraId="5A2342BB">
      <w:pPr>
        <w:spacing w:line="360" w:lineRule="auto"/>
        <w:ind w:firstLine="437"/>
        <w:outlineLvl w:val="2"/>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26</w:t>
      </w:r>
      <w:r>
        <w:rPr>
          <w:rFonts w:hint="eastAsia" w:ascii="宋体" w:hAnsi="宋体" w:eastAsia="宋体" w:cs="宋体"/>
          <w:b/>
          <w:color w:val="auto"/>
          <w:sz w:val="24"/>
          <w:highlight w:val="none"/>
        </w:rPr>
        <w:t>.履约保证金</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lang w:val="en-US" w:eastAsia="zh-CN"/>
        </w:rPr>
        <w:t>本项目不采用</w:t>
      </w:r>
      <w:r>
        <w:rPr>
          <w:rFonts w:hint="eastAsia" w:ascii="宋体" w:hAnsi="宋体" w:eastAsia="宋体" w:cs="宋体"/>
          <w:b/>
          <w:color w:val="auto"/>
          <w:sz w:val="24"/>
          <w:highlight w:val="none"/>
          <w:lang w:eastAsia="zh-CN"/>
        </w:rPr>
        <w:t>）</w:t>
      </w:r>
    </w:p>
    <w:p w14:paraId="7EF791E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rPr>
        <w:t>.1中标人应按照</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规定缴纳履约保证金。</w:t>
      </w:r>
    </w:p>
    <w:p w14:paraId="3F89C717">
      <w:pPr>
        <w:spacing w:line="360" w:lineRule="auto"/>
        <w:ind w:firstLine="435"/>
        <w:rPr>
          <w:rFonts w:hint="eastAsia" w:ascii="宋体" w:hAnsi="宋体" w:eastAsia="宋体" w:cs="宋体"/>
          <w:b/>
          <w:color w:val="auto"/>
          <w:sz w:val="24"/>
          <w:highlight w:val="none"/>
        </w:rPr>
      </w:pPr>
      <w:r>
        <w:rPr>
          <w:rFonts w:hint="eastAsia" w:ascii="宋体" w:hAnsi="宋体" w:eastAsia="宋体" w:cs="宋体"/>
          <w:color w:val="auto"/>
          <w:sz w:val="24"/>
          <w:highlight w:val="none"/>
          <w:lang w:val="en-US" w:eastAsia="zh-CN"/>
        </w:rPr>
        <w:t>26</w:t>
      </w:r>
      <w:r>
        <w:rPr>
          <w:rFonts w:hint="eastAsia" w:ascii="宋体" w:hAnsi="宋体" w:eastAsia="宋体" w:cs="宋体"/>
          <w:color w:val="auto"/>
          <w:sz w:val="24"/>
          <w:highlight w:val="none"/>
        </w:rPr>
        <w:t>.2如果中标人没有按照上述履约保证金的规定执行，将视为放弃中标资格。在此情况下，采购人可确定下一中标候选人为中标人，也可以重新开展采购活动。</w:t>
      </w:r>
    </w:p>
    <w:p w14:paraId="2BA64209">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27</w:t>
      </w:r>
      <w:r>
        <w:rPr>
          <w:rFonts w:hint="eastAsia" w:ascii="宋体" w:hAnsi="宋体" w:eastAsia="宋体" w:cs="宋体"/>
          <w:b/>
          <w:color w:val="auto"/>
          <w:sz w:val="24"/>
          <w:highlight w:val="none"/>
        </w:rPr>
        <w:t>.签订合同</w:t>
      </w:r>
    </w:p>
    <w:p w14:paraId="0E3D677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480C5D9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27</w:t>
      </w:r>
      <w:r>
        <w:rPr>
          <w:rFonts w:hint="eastAsia" w:ascii="宋体" w:hAnsi="宋体" w:eastAsia="宋体" w:cs="宋体"/>
          <w:color w:val="auto"/>
          <w:sz w:val="24"/>
          <w:highlight w:val="none"/>
        </w:rPr>
        <w:t>.2招标文件、中标人的投标文件及其澄清文件等，均为签订合同的依据。</w:t>
      </w:r>
    </w:p>
    <w:p w14:paraId="57F4A73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3中标人拒绝与采购人签订合同的，采购人可以按照评审报告推荐的中标候选人名单排序，确定下一中标候选人为中标人，也可以重新开展政府采购活动。</w:t>
      </w:r>
    </w:p>
    <w:p w14:paraId="73A645B3">
      <w:pPr>
        <w:spacing w:line="360" w:lineRule="auto"/>
        <w:ind w:firstLine="437"/>
        <w:outlineLvl w:val="2"/>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28</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代理费用</w:t>
      </w:r>
    </w:p>
    <w:p w14:paraId="77D09E1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28</w:t>
      </w:r>
      <w:r>
        <w:rPr>
          <w:rFonts w:hint="eastAsia" w:ascii="宋体" w:hAnsi="宋体" w:eastAsia="宋体" w:cs="宋体"/>
          <w:color w:val="auto"/>
          <w:sz w:val="24"/>
          <w:highlight w:val="none"/>
        </w:rPr>
        <w:t>.1本项目</w:t>
      </w:r>
      <w:r>
        <w:rPr>
          <w:rFonts w:hint="eastAsia" w:ascii="宋体" w:hAnsi="宋体" w:eastAsia="宋体" w:cs="宋体"/>
          <w:color w:val="auto"/>
          <w:sz w:val="24"/>
          <w:highlight w:val="none"/>
          <w:lang w:val="en-US" w:eastAsia="zh-CN"/>
        </w:rPr>
        <w:t>代理费用</w:t>
      </w:r>
      <w:r>
        <w:rPr>
          <w:rFonts w:hint="eastAsia" w:ascii="宋体" w:hAnsi="宋体" w:eastAsia="宋体" w:cs="宋体"/>
          <w:color w:val="auto"/>
          <w:sz w:val="24"/>
          <w:highlight w:val="none"/>
        </w:rPr>
        <w:t>的收取按</w:t>
      </w:r>
      <w:r>
        <w:rPr>
          <w:rFonts w:hint="eastAsia" w:ascii="宋体" w:hAnsi="宋体" w:eastAsia="宋体" w:cs="宋体"/>
          <w:color w:val="auto"/>
          <w:sz w:val="24"/>
          <w:highlight w:val="none"/>
          <w:u w:val="single"/>
        </w:rPr>
        <w:t>投标人须知前附表的</w:t>
      </w:r>
      <w:r>
        <w:rPr>
          <w:rFonts w:hint="eastAsia" w:ascii="宋体" w:hAnsi="宋体" w:eastAsia="宋体" w:cs="宋体"/>
          <w:color w:val="auto"/>
          <w:sz w:val="24"/>
          <w:highlight w:val="none"/>
        </w:rPr>
        <w:t>规定执行。</w:t>
      </w:r>
    </w:p>
    <w:p w14:paraId="528EDE9D">
      <w:pPr>
        <w:spacing w:line="360" w:lineRule="auto"/>
        <w:ind w:firstLine="437"/>
        <w:outlineLvl w:val="2"/>
        <w:rPr>
          <w:rFonts w:hint="eastAsia" w:ascii="宋体" w:hAnsi="宋体" w:eastAsia="宋体" w:cs="宋体"/>
          <w:b/>
          <w:color w:val="auto"/>
          <w:sz w:val="24"/>
          <w:highlight w:val="none"/>
        </w:rPr>
      </w:pPr>
      <w:bookmarkStart w:id="9" w:name="_Toc518923100"/>
      <w:bookmarkStart w:id="10" w:name="_Toc2583661"/>
      <w:r>
        <w:rPr>
          <w:rFonts w:hint="eastAsia" w:ascii="宋体" w:hAnsi="宋体" w:eastAsia="宋体" w:cs="宋体"/>
          <w:b/>
          <w:color w:val="auto"/>
          <w:sz w:val="24"/>
          <w:highlight w:val="none"/>
          <w:lang w:eastAsia="zh-CN"/>
        </w:rPr>
        <w:t>29.</w:t>
      </w:r>
      <w:r>
        <w:rPr>
          <w:rFonts w:hint="eastAsia" w:ascii="宋体" w:hAnsi="宋体" w:eastAsia="宋体" w:cs="宋体"/>
          <w:b/>
          <w:color w:val="auto"/>
          <w:sz w:val="24"/>
          <w:highlight w:val="none"/>
        </w:rPr>
        <w:t>廉洁自律规定</w:t>
      </w:r>
      <w:bookmarkEnd w:id="9"/>
      <w:bookmarkEnd w:id="10"/>
    </w:p>
    <w:p w14:paraId="038F4B6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29.</w:t>
      </w:r>
      <w:r>
        <w:rPr>
          <w:rFonts w:hint="eastAsia" w:ascii="宋体" w:hAnsi="宋体" w:eastAsia="宋体" w:cs="宋体"/>
          <w:color w:val="auto"/>
          <w:sz w:val="24"/>
          <w:highlight w:val="none"/>
        </w:rPr>
        <w:t>1采购代理机构工作人员不得以不正当手段获取政府采购代理业务，不得与采购人、供应商恶意串通。</w:t>
      </w:r>
    </w:p>
    <w:p w14:paraId="7840E20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29.</w:t>
      </w:r>
      <w:r>
        <w:rPr>
          <w:rFonts w:hint="eastAsia" w:ascii="宋体" w:hAnsi="宋体" w:eastAsia="宋体" w:cs="宋体"/>
          <w:color w:val="auto"/>
          <w:sz w:val="24"/>
          <w:highlight w:val="none"/>
        </w:rPr>
        <w:t>2采购代理机构工作人员不得接受采购人或者供应商组织的宴请、旅游、娱乐，不得收受礼品、现金、有价证券等，不得向采购人或者供应商报销应当由个人承担的费用。</w:t>
      </w:r>
    </w:p>
    <w:p w14:paraId="5CC3DCA8">
      <w:pPr>
        <w:spacing w:line="360" w:lineRule="auto"/>
        <w:ind w:firstLine="437"/>
        <w:outlineLvl w:val="2"/>
        <w:rPr>
          <w:rFonts w:hint="eastAsia" w:ascii="宋体" w:hAnsi="宋体" w:eastAsia="宋体" w:cs="宋体"/>
          <w:b/>
          <w:color w:val="auto"/>
          <w:sz w:val="24"/>
          <w:highlight w:val="none"/>
        </w:rPr>
      </w:pPr>
      <w:bookmarkStart w:id="11" w:name="_Toc2583662"/>
      <w:bookmarkStart w:id="12" w:name="_Toc518923101"/>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0</w:t>
      </w:r>
      <w:r>
        <w:rPr>
          <w:rFonts w:hint="eastAsia" w:ascii="宋体" w:hAnsi="宋体" w:eastAsia="宋体" w:cs="宋体"/>
          <w:b/>
          <w:color w:val="auto"/>
          <w:sz w:val="24"/>
          <w:highlight w:val="none"/>
        </w:rPr>
        <w:t>.人员回避</w:t>
      </w:r>
      <w:bookmarkEnd w:id="11"/>
      <w:bookmarkEnd w:id="12"/>
    </w:p>
    <w:p w14:paraId="502EAC64">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投标人认为采购人员及其相关人员有法律法规所列与其他供应商有利害关系的，可以向采购人或采购代理机构书面提出回避申请，并说明理由。</w:t>
      </w:r>
    </w:p>
    <w:p w14:paraId="477A9005">
      <w:pPr>
        <w:spacing w:line="360" w:lineRule="auto"/>
        <w:ind w:firstLine="437"/>
        <w:outlineLvl w:val="2"/>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.质疑的提出与接收</w:t>
      </w:r>
    </w:p>
    <w:p w14:paraId="489CA2E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FD96A6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DEA189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采购代理机构质疑函接收部门、联系电话和通讯地址，见</w:t>
      </w:r>
      <w:r>
        <w:rPr>
          <w:rFonts w:hint="eastAsia" w:ascii="宋体" w:hAnsi="宋体" w:eastAsia="宋体" w:cs="宋体"/>
          <w:color w:val="auto"/>
          <w:sz w:val="24"/>
          <w:highlight w:val="none"/>
          <w:u w:val="single"/>
        </w:rPr>
        <w:t>投标人须知前附表</w:t>
      </w:r>
      <w:r>
        <w:rPr>
          <w:rFonts w:hint="eastAsia" w:ascii="宋体" w:hAnsi="宋体" w:eastAsia="宋体" w:cs="宋体"/>
          <w:color w:val="auto"/>
          <w:sz w:val="24"/>
          <w:highlight w:val="none"/>
        </w:rPr>
        <w:t>。</w:t>
      </w:r>
    </w:p>
    <w:p w14:paraId="201F75D2">
      <w:pPr>
        <w:widowControl/>
        <w:jc w:val="left"/>
        <w:rPr>
          <w:rFonts w:hint="eastAsia" w:ascii="宋体" w:hAnsi="宋体" w:eastAsia="宋体" w:cs="宋体"/>
          <w:b/>
          <w:color w:val="auto"/>
          <w:sz w:val="28"/>
          <w:highlight w:val="none"/>
        </w:rPr>
      </w:pPr>
      <w:r>
        <w:rPr>
          <w:rFonts w:hint="eastAsia" w:ascii="宋体" w:hAnsi="宋体" w:eastAsia="宋体" w:cs="宋体"/>
          <w:color w:val="auto"/>
          <w:sz w:val="24"/>
          <w:highlight w:val="none"/>
        </w:rPr>
        <w:br w:type="page"/>
      </w:r>
    </w:p>
    <w:p w14:paraId="65CD53BB">
      <w:pPr>
        <w:spacing w:line="360" w:lineRule="auto"/>
        <w:jc w:val="center"/>
        <w:outlineLvl w:val="0"/>
        <w:rPr>
          <w:rFonts w:hint="eastAsia" w:ascii="宋体" w:hAnsi="宋体" w:eastAsia="宋体" w:cs="宋体"/>
          <w:b/>
          <w:color w:val="auto"/>
          <w:sz w:val="28"/>
          <w:highlight w:val="none"/>
          <w:lang w:eastAsia="zh-CN"/>
        </w:rPr>
      </w:pPr>
      <w:bookmarkStart w:id="13" w:name="_Toc10891"/>
      <w:r>
        <w:rPr>
          <w:rFonts w:hint="eastAsia" w:ascii="宋体" w:hAnsi="宋体" w:eastAsia="宋体" w:cs="宋体"/>
          <w:b/>
          <w:color w:val="auto"/>
          <w:sz w:val="28"/>
          <w:highlight w:val="none"/>
        </w:rPr>
        <w:t>第三章  采购需求</w:t>
      </w:r>
      <w:bookmarkEnd w:id="13"/>
    </w:p>
    <w:p w14:paraId="0AFA7F43">
      <w:pPr>
        <w:spacing w:line="360" w:lineRule="auto"/>
        <w:ind w:firstLine="437"/>
        <w:outlineLvl w:val="1"/>
        <w:rPr>
          <w:rFonts w:hint="eastAsia" w:ascii="宋体" w:hAnsi="宋体" w:eastAsia="宋体" w:cs="宋体"/>
          <w:b/>
          <w:color w:val="auto"/>
          <w:sz w:val="24"/>
          <w:szCs w:val="18"/>
          <w:highlight w:val="none"/>
        </w:rPr>
      </w:pPr>
      <w:bookmarkStart w:id="14" w:name="_Toc32151"/>
      <w:bookmarkStart w:id="15" w:name="_Toc2554"/>
      <w:r>
        <w:rPr>
          <w:rFonts w:hint="eastAsia" w:ascii="宋体" w:hAnsi="宋体" w:eastAsia="宋体" w:cs="宋体"/>
          <w:b/>
          <w:color w:val="auto"/>
          <w:sz w:val="24"/>
          <w:szCs w:val="18"/>
          <w:highlight w:val="none"/>
        </w:rPr>
        <w:t>一、采购需求前附表</w:t>
      </w:r>
      <w:bookmarkEnd w:id="14"/>
      <w:bookmarkEnd w:id="15"/>
    </w:p>
    <w:tbl>
      <w:tblPr>
        <w:tblStyle w:val="24"/>
        <w:tblW w:w="52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921"/>
        <w:gridCol w:w="7343"/>
      </w:tblGrid>
      <w:tr w14:paraId="76D0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2" w:type="pct"/>
            <w:vAlign w:val="center"/>
          </w:tcPr>
          <w:p w14:paraId="10D6A843">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
                <w:color w:val="auto"/>
                <w:kern w:val="2"/>
                <w:highlight w:val="none"/>
              </w:rPr>
            </w:pPr>
            <w:r>
              <w:rPr>
                <w:rFonts w:hint="eastAsia" w:ascii="宋体" w:hAnsi="宋体" w:eastAsia="宋体" w:cs="宋体"/>
                <w:b/>
                <w:color w:val="auto"/>
                <w:kern w:val="2"/>
                <w:highlight w:val="none"/>
              </w:rPr>
              <w:t>序号</w:t>
            </w:r>
          </w:p>
        </w:tc>
        <w:tc>
          <w:tcPr>
            <w:tcW w:w="920" w:type="pct"/>
            <w:vAlign w:val="center"/>
          </w:tcPr>
          <w:p w14:paraId="49C3D3BE">
            <w:pPr>
              <w:pStyle w:val="32"/>
              <w:widowControl w:val="0"/>
              <w:spacing w:before="0" w:beforeAutospacing="0" w:after="0" w:afterAutospacing="0" w:line="360" w:lineRule="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条款名称</w:t>
            </w:r>
          </w:p>
        </w:tc>
        <w:tc>
          <w:tcPr>
            <w:tcW w:w="3516" w:type="pct"/>
            <w:vAlign w:val="center"/>
          </w:tcPr>
          <w:p w14:paraId="2D8164DA">
            <w:pPr>
              <w:pStyle w:val="32"/>
              <w:widowControl w:val="0"/>
              <w:spacing w:before="0" w:beforeAutospacing="0" w:after="0" w:afterAutospacing="0" w:line="360" w:lineRule="auto"/>
              <w:rPr>
                <w:rFonts w:hint="eastAsia" w:ascii="宋体" w:hAnsi="宋体" w:eastAsia="宋体" w:cs="宋体"/>
                <w:bCs w:val="0"/>
                <w:color w:val="auto"/>
                <w:sz w:val="24"/>
                <w:highlight w:val="none"/>
              </w:rPr>
            </w:pPr>
            <w:r>
              <w:rPr>
                <w:rFonts w:hint="eastAsia" w:ascii="宋体" w:hAnsi="宋体" w:eastAsia="宋体" w:cs="宋体"/>
                <w:bCs w:val="0"/>
                <w:color w:val="auto"/>
                <w:sz w:val="24"/>
                <w:highlight w:val="none"/>
              </w:rPr>
              <w:t>内容、说明与要求</w:t>
            </w:r>
          </w:p>
        </w:tc>
      </w:tr>
      <w:tr w14:paraId="5A94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2" w:type="pct"/>
            <w:vAlign w:val="center"/>
          </w:tcPr>
          <w:p w14:paraId="4295892F">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1</w:t>
            </w:r>
          </w:p>
        </w:tc>
        <w:tc>
          <w:tcPr>
            <w:tcW w:w="920" w:type="pct"/>
            <w:vAlign w:val="center"/>
          </w:tcPr>
          <w:p w14:paraId="4A5C8059">
            <w:pPr>
              <w:pStyle w:val="32"/>
              <w:widowControl w:val="0"/>
              <w:spacing w:before="0" w:beforeAutospacing="0" w:after="0" w:afterAutospacing="0" w:line="360" w:lineRule="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付款方式</w:t>
            </w:r>
          </w:p>
        </w:tc>
        <w:tc>
          <w:tcPr>
            <w:tcW w:w="3516" w:type="pct"/>
            <w:vAlign w:val="center"/>
          </w:tcPr>
          <w:p w14:paraId="07FC9E6B">
            <w:pPr>
              <w:pStyle w:val="32"/>
              <w:widowControl w:val="0"/>
              <w:numPr>
                <w:ilvl w:val="0"/>
                <w:numId w:val="0"/>
              </w:numPr>
              <w:spacing w:before="0" w:beforeAutospacing="0" w:after="0" w:afterAutospacing="0" w:line="360" w:lineRule="auto"/>
              <w:jc w:val="both"/>
              <w:rPr>
                <w:rFonts w:hint="default"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u w:val="single"/>
                <w:lang w:val="en-US" w:eastAsia="zh-CN"/>
              </w:rPr>
              <w:t>本项目无预付款，每季度根据考核得分支付合同价款（例：第一季度考核得分为90分，则一季度支付总金额为合同金额*25%*90%）；</w:t>
            </w:r>
          </w:p>
        </w:tc>
      </w:tr>
      <w:tr w14:paraId="2CF9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2" w:type="pct"/>
            <w:vAlign w:val="center"/>
          </w:tcPr>
          <w:p w14:paraId="670D01BB">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2</w:t>
            </w:r>
          </w:p>
        </w:tc>
        <w:tc>
          <w:tcPr>
            <w:tcW w:w="920" w:type="pct"/>
            <w:vAlign w:val="center"/>
          </w:tcPr>
          <w:p w14:paraId="707EE75A">
            <w:pPr>
              <w:pStyle w:val="32"/>
              <w:widowControl w:val="0"/>
              <w:spacing w:before="0" w:beforeAutospacing="0" w:after="0" w:afterAutospacing="0" w:line="360" w:lineRule="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服务</w:t>
            </w:r>
            <w:r>
              <w:rPr>
                <w:rFonts w:hint="eastAsia" w:ascii="宋体" w:hAnsi="宋体" w:eastAsia="宋体" w:cs="宋体"/>
                <w:b w:val="0"/>
                <w:color w:val="auto"/>
                <w:sz w:val="24"/>
                <w:highlight w:val="none"/>
              </w:rPr>
              <w:t>地点</w:t>
            </w:r>
          </w:p>
        </w:tc>
        <w:tc>
          <w:tcPr>
            <w:tcW w:w="3516" w:type="pct"/>
            <w:vAlign w:val="center"/>
          </w:tcPr>
          <w:p w14:paraId="75913D3A">
            <w:pPr>
              <w:pStyle w:val="32"/>
              <w:widowControl w:val="0"/>
              <w:spacing w:before="0" w:beforeAutospacing="0" w:after="0" w:afterAutospacing="0" w:line="360" w:lineRule="auto"/>
              <w:jc w:val="both"/>
              <w:rPr>
                <w:rFonts w:hint="eastAsia" w:ascii="宋体" w:hAnsi="宋体" w:eastAsia="宋体" w:cs="宋体"/>
                <w:b w:val="0"/>
                <w:color w:val="auto"/>
                <w:sz w:val="24"/>
                <w:highlight w:val="none"/>
                <w:lang w:val="en-US"/>
              </w:rPr>
            </w:pPr>
            <w:r>
              <w:rPr>
                <w:rFonts w:hint="eastAsia" w:ascii="宋体" w:hAnsi="宋体" w:eastAsia="宋体" w:cs="宋体"/>
                <w:b w:val="0"/>
                <w:color w:val="auto"/>
                <w:sz w:val="24"/>
                <w:highlight w:val="none"/>
                <w:u w:val="single"/>
                <w:lang w:val="en-US" w:eastAsia="zh-CN"/>
              </w:rPr>
              <w:t>根据合同约定执行</w:t>
            </w:r>
          </w:p>
        </w:tc>
      </w:tr>
      <w:tr w14:paraId="1F65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2" w:type="pct"/>
            <w:vAlign w:val="center"/>
          </w:tcPr>
          <w:p w14:paraId="52AD2C42">
            <w:pPr>
              <w:pStyle w:val="33"/>
              <w:pBdr>
                <w:bottom w:val="none" w:color="auto" w:sz="0" w:space="0"/>
              </w:pBdr>
              <w:tabs>
                <w:tab w:val="clear" w:pos="4153"/>
                <w:tab w:val="clear" w:pos="8306"/>
              </w:tabs>
              <w:adjustRightInd/>
              <w:spacing w:line="240" w:lineRule="auto"/>
              <w:textAlignment w:val="auto"/>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3</w:t>
            </w:r>
          </w:p>
        </w:tc>
        <w:tc>
          <w:tcPr>
            <w:tcW w:w="920" w:type="pct"/>
            <w:vAlign w:val="center"/>
          </w:tcPr>
          <w:p w14:paraId="7A514501">
            <w:pPr>
              <w:pStyle w:val="32"/>
              <w:widowControl w:val="0"/>
              <w:spacing w:before="0" w:beforeAutospacing="0" w:after="0" w:afterAutospacing="0" w:line="360" w:lineRule="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服务</w:t>
            </w:r>
            <w:r>
              <w:rPr>
                <w:rFonts w:hint="eastAsia" w:ascii="宋体" w:hAnsi="宋体" w:eastAsia="宋体" w:cs="宋体"/>
                <w:b w:val="0"/>
                <w:color w:val="auto"/>
                <w:sz w:val="24"/>
                <w:highlight w:val="none"/>
              </w:rPr>
              <w:t>期限</w:t>
            </w:r>
          </w:p>
        </w:tc>
        <w:tc>
          <w:tcPr>
            <w:tcW w:w="3516" w:type="pct"/>
            <w:vAlign w:val="center"/>
          </w:tcPr>
          <w:p w14:paraId="7618E6D2">
            <w:pPr>
              <w:pStyle w:val="32"/>
              <w:widowControl w:val="0"/>
              <w:spacing w:before="0" w:beforeAutospacing="0" w:after="0" w:afterAutospacing="0" w:line="360" w:lineRule="auto"/>
              <w:jc w:val="both"/>
              <w:rPr>
                <w:rFonts w:hint="default" w:ascii="宋体" w:hAnsi="宋体" w:eastAsia="宋体" w:cs="宋体"/>
                <w:b w:val="0"/>
                <w:color w:val="auto"/>
                <w:sz w:val="24"/>
                <w:highlight w:val="none"/>
                <w:lang w:val="en-US" w:eastAsia="zh-CN"/>
              </w:rPr>
            </w:pPr>
            <w:r>
              <w:rPr>
                <w:rFonts w:hint="eastAsia" w:ascii="宋体" w:hAnsi="宋体" w:eastAsia="宋体" w:cs="宋体"/>
                <w:color w:val="auto"/>
                <w:sz w:val="24"/>
                <w:highlight w:val="none"/>
                <w:u w:val="single"/>
                <w:lang w:val="en-US" w:eastAsia="zh-CN"/>
              </w:rPr>
              <w:t>一年</w:t>
            </w:r>
          </w:p>
        </w:tc>
      </w:tr>
    </w:tbl>
    <w:p w14:paraId="07DD597B">
      <w:pPr>
        <w:spacing w:line="360" w:lineRule="auto"/>
        <w:ind w:firstLine="437"/>
        <w:outlineLvl w:val="1"/>
        <w:rPr>
          <w:rFonts w:hint="eastAsia" w:ascii="宋体" w:hAnsi="宋体" w:eastAsia="宋体" w:cs="宋体"/>
          <w:b/>
          <w:color w:val="auto"/>
          <w:sz w:val="24"/>
          <w:szCs w:val="18"/>
          <w:highlight w:val="none"/>
          <w:lang w:val="en-US" w:eastAsia="zh-CN"/>
        </w:rPr>
      </w:pPr>
    </w:p>
    <w:p w14:paraId="6B73129B">
      <w:pPr>
        <w:spacing w:line="360" w:lineRule="auto"/>
        <w:ind w:firstLine="437"/>
        <w:outlineLvl w:val="1"/>
        <w:rPr>
          <w:rFonts w:hint="eastAsia" w:ascii="宋体" w:hAnsi="宋体" w:eastAsia="宋体" w:cs="宋体"/>
          <w:b/>
          <w:color w:val="auto"/>
          <w:sz w:val="24"/>
          <w:szCs w:val="18"/>
          <w:highlight w:val="none"/>
        </w:rPr>
      </w:pPr>
      <w:r>
        <w:rPr>
          <w:rFonts w:hint="eastAsia" w:ascii="宋体" w:hAnsi="宋体" w:eastAsia="宋体" w:cs="宋体"/>
          <w:b/>
          <w:color w:val="auto"/>
          <w:sz w:val="24"/>
          <w:szCs w:val="18"/>
          <w:highlight w:val="none"/>
          <w:lang w:val="en-US" w:eastAsia="zh-CN"/>
        </w:rPr>
        <w:t>二、</w:t>
      </w:r>
      <w:r>
        <w:rPr>
          <w:rFonts w:hint="eastAsia" w:ascii="宋体" w:hAnsi="宋体" w:eastAsia="宋体" w:cs="宋体"/>
          <w:b/>
          <w:color w:val="auto"/>
          <w:sz w:val="24"/>
          <w:szCs w:val="18"/>
          <w:highlight w:val="none"/>
        </w:rPr>
        <w:t>项目介绍：</w:t>
      </w:r>
    </w:p>
    <w:p w14:paraId="0C0FD10F">
      <w:pPr>
        <w:numPr>
          <w:ilvl w:val="0"/>
          <w:numId w:val="1"/>
        </w:numPr>
        <w:spacing w:line="480" w:lineRule="auto"/>
        <w:ind w:left="0" w:leftChars="0" w:firstLine="42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项目概述</w:t>
      </w:r>
    </w:p>
    <w:p w14:paraId="497BD8F3">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为保障本单位卫生监督在线监测平台的稳定、高效运行，确保水质、辐射等关键监测数据的准确性与实时性，现拟采购一套综合性运维服务。本项目涵盖相关软硬件设备的日常维护、定期巡检、耗材更换及软件安全配合等工作，旨在通过专业化、规范化的运维管理，延长设备使用寿命，降低故障发生率，保障监测业务连续性。</w:t>
      </w:r>
    </w:p>
    <w:p w14:paraId="7BD23261">
      <w:pPr>
        <w:numPr>
          <w:ilvl w:val="0"/>
          <w:numId w:val="1"/>
        </w:numPr>
        <w:spacing w:line="480" w:lineRule="auto"/>
        <w:ind w:left="0" w:leftChars="0" w:firstLine="42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服务范围与内容</w:t>
      </w:r>
    </w:p>
    <w:p w14:paraId="3FE5C0F3">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硬件设备巡检与维护：对现场部署的22套固定式医疗辐射在线监测仪、14套游泳池水质多参数监测仪及4套饮用水水质多参数监测仪等核心设备进行每季度至少一次的全面巡检。巡检内容包括但不限于设备运行状态检查、传感器校准、管路清洗、电源系统检测、数据采集模块功能验证等。每次巡检需出具详尽的巡检报告，包含设备运行状况、发现的问题、处理措施及后续建议，并由双方签字确认。</w:t>
      </w:r>
    </w:p>
    <w:p w14:paraId="7E2D451D">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试剂定期更换与管理：根据设备运行情况和试剂有效期，定期对监测设备所需试剂进行更换。鉴于试剂种类和用量存在不确定性，供应商可安排技术人员现场查看，制定合理的试剂更换计划，并负责试剂的采购、运输、更换及废弃试剂的合规处理。</w:t>
      </w:r>
    </w:p>
    <w:p w14:paraId="7A10F289">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软件系统维护与安全配合：对配套的卫生监督在线监测平台进行日常维护，确保数据采集、传输、存储等功能正常。在软件安全方面，供应商需积极配合采购方开展系统漏洞排查、安全加固、补丁更新等工作，并协助完成相关安全检查和应急响应。</w:t>
      </w:r>
    </w:p>
    <w:p w14:paraId="242CFBA0">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4.应急响应与技术支持：提供7×24小时技术支持服务，系统和设备发生故障时，需在规定时间内响应并提供解决方案，必要时安排技术人员现场处理，确保故障及时排除。</w:t>
      </w:r>
    </w:p>
    <w:p w14:paraId="14AAA74A">
      <w:pPr>
        <w:numPr>
          <w:ilvl w:val="0"/>
          <w:numId w:val="1"/>
        </w:numPr>
        <w:spacing w:line="480" w:lineRule="auto"/>
        <w:ind w:left="0" w:leftChars="0" w:firstLine="42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服务要求</w:t>
      </w:r>
    </w:p>
    <w:p w14:paraId="13CEFC75">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1.人员资质：供应商需配备具备相关设备维护经验的专业技术人员，熟悉水质、辐射监测设备的工作原理和操作规范，具备软件系统维护和安全防护能力。</w:t>
      </w:r>
    </w:p>
    <w:p w14:paraId="7C9D7D30">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2.巡检与报告：每季度巡检需提前与采购方沟通确定时间，巡检过程需规范、细致，巡检报告需内容详实、数据准确、结论清晰。</w:t>
      </w:r>
    </w:p>
    <w:p w14:paraId="298DE1E6">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3.试剂管理：试剂更换需符合相关环保和安全标准，确保试剂质量可靠，更换过程不影响设备正常监测。</w:t>
      </w:r>
    </w:p>
    <w:p w14:paraId="5F6F3601">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4.安全合规：软件维护和安全配合工作需严格遵守国家相关网络安全法律法规和采购方的安全管理要求，确保系统数据安全。</w:t>
      </w:r>
    </w:p>
    <w:p w14:paraId="3C5526EF">
      <w:pPr>
        <w:numPr>
          <w:ilvl w:val="0"/>
          <w:numId w:val="1"/>
        </w:numPr>
        <w:spacing w:line="480" w:lineRule="auto"/>
        <w:ind w:left="0" w:leftChars="0" w:firstLine="42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验收标准</w:t>
      </w:r>
    </w:p>
    <w:p w14:paraId="2D126817">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1.每季度巡检报告经采购方审核确认无误。</w:t>
      </w:r>
    </w:p>
    <w:p w14:paraId="5004DC7F">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2.试剂更换记录完整，设备运行正常。</w:t>
      </w:r>
    </w:p>
    <w:p w14:paraId="5D4BB3B9">
      <w:pP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br w:type="page"/>
      </w:r>
    </w:p>
    <w:p w14:paraId="41F7FF41">
      <w:pPr>
        <w:spacing w:line="480" w:lineRule="auto"/>
        <w:ind w:firstLine="435"/>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附件：2026年滁州市卫生监督在线监测平台运维项目供应商考核标准 </w:t>
      </w:r>
    </w:p>
    <w:p w14:paraId="433DEEC3">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考核标准适用于2026年滁州市卫生监督在线监测平台运维项目服务期内，采购人对中标供应商的日常履约、服务质量等情况的考核，考核结果作为合同续签、履约评价的核心依据，考核周期为每季度，满分为100分，80分及以上为合格，低于80分为不合格。</w:t>
      </w:r>
    </w:p>
    <w:p w14:paraId="2BDF921B">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一、硬件设备巡检与维护（30分）</w:t>
      </w:r>
    </w:p>
    <w:p w14:paraId="59E31422">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1.按要求每季度完成一次全面巡检，缺1次扣10分，巡检延迟每次扣5分，未提前与采购方沟通巡检时间每次扣3分。</w:t>
      </w:r>
    </w:p>
    <w:p w14:paraId="6286D84D">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2.巡检内容完整，涵盖设备运行状态、传感器校准等全部要求，漏检1项扣2分；巡检操作不规范，每次扣3分。</w:t>
      </w:r>
    </w:p>
    <w:p w14:paraId="46907972">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3.及时提交详尽巡检报告，报告内容缺设备状况、问题处理措施等核心项，每缺1项扣3分；报告数据不准确、结论模糊，每次扣4分；未完成双方签字确认，每次扣5分。</w:t>
      </w:r>
    </w:p>
    <w:p w14:paraId="22120012">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4.硬件设备故障排查及时，因维护不当导致设备故障率超5%，每超1个百分点扣2分。</w:t>
      </w:r>
    </w:p>
    <w:p w14:paraId="08C08644">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二、试剂管理与更换（20分）</w:t>
      </w:r>
    </w:p>
    <w:p w14:paraId="0E9D007F">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1.按设备需求和试剂有效期制定合理更换计划，无计划扣5分，计划未落地每次扣3分。</w:t>
      </w:r>
    </w:p>
    <w:p w14:paraId="3A4E2D02">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2.试剂采购、运输符合质量标准，使用不合格试剂，发现1次扣10分；试剂更换不及时影响设备监测，每次扣5分。</w:t>
      </w:r>
    </w:p>
    <w:p w14:paraId="4A86B463">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3.废弃试剂按环保和安全标准合规处理，未合规处理每次扣6分；试剂更换记录不完整，缺1次记录扣2分。</w:t>
      </w:r>
    </w:p>
    <w:p w14:paraId="1D550A45">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三、软件系统维护与安全配合（20分）</w:t>
      </w:r>
    </w:p>
    <w:p w14:paraId="088B5B35">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1.保障平台数据采集、传输、存储功能正常，出现功能故障未及时修复，每次扣5分；故障导致数据中断超24小时，每次扣8分。</w:t>
      </w:r>
    </w:p>
    <w:p w14:paraId="2DD6BAD3">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2.积极配合采购方开展系统漏洞排查、安全加固等工作，配合不积极每次扣4分；未按要求完成补丁更新，每次扣3分。</w:t>
      </w:r>
    </w:p>
    <w:p w14:paraId="16F2B039">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3.协助完成安全检查和应急响应，未及时响应或协助不到位，每次扣5分；因维护不当导致系统数据泄露，此项不得分并追究相关责任。</w:t>
      </w:r>
    </w:p>
    <w:p w14:paraId="7DEAADF0">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四、应急响应与技术支持（20分）</w:t>
      </w:r>
    </w:p>
    <w:p w14:paraId="66E4206A">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1.提供7×24小时技术支持，未保障服务时长此项不得分；技术咨询响应超时（1小时内），每次扣2分。</w:t>
      </w:r>
    </w:p>
    <w:p w14:paraId="0F925C6B">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2.设备/系统故障按要求及时响应并出具解决方案，响应超时（2小时内）每次扣3分；无合理解决方案，每次扣4分。</w:t>
      </w:r>
    </w:p>
    <w:p w14:paraId="2CA66FA7">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3.必要时安排技术人员现场处理，未及时到场（市区内8小时、市域内24小时）每次扣5分；现场故障未在约定时间内排除，每次扣6分。</w:t>
      </w:r>
    </w:p>
    <w:p w14:paraId="1A6D0FCC">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 五、人员资质与服务配合（10分）</w:t>
      </w:r>
    </w:p>
    <w:p w14:paraId="489E7BF5">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1.配备的技术人员具备相关设备维护经验，无对应资质或经验，每人次扣3分；技术人员操作不熟练影响服务，每次扣2分。</w:t>
      </w:r>
    </w:p>
    <w:p w14:paraId="03B433A7">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2.积极配合采购方的履约检查、工作沟通等要求，配合不积极、推诿工作，每次扣3分；未按采购方要求完善服务问题，每次扣2分。</w:t>
      </w:r>
    </w:p>
    <w:p w14:paraId="43A73973">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3.按时提交服务过程中的各类资料、报表，迟交每次扣1分，拒交每次扣3分。</w:t>
      </w:r>
    </w:p>
    <w:p w14:paraId="7A0BC508">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六、考核结果应用</w:t>
      </w:r>
    </w:p>
    <w:p w14:paraId="2719F604">
      <w:pPr>
        <w:spacing w:line="48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1.考核过程中，供应商单次扣分项达10分及以上的，采购人有权要求供应商限期整改；整改不到位的，按合同约定扣除相应服务费用。</w:t>
      </w:r>
    </w:p>
    <w:p w14:paraId="001D46F1">
      <w:pPr>
        <w:spacing w:line="480" w:lineRule="auto"/>
        <w:ind w:firstLine="435"/>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2.服务期内累计两次考核不合格的，采购人立即终止合同，取消供应商后续参与本项目相关采购活动的资格。</w:t>
      </w:r>
    </w:p>
    <w:p w14:paraId="2F27A656">
      <w:pPr>
        <w:spacing w:line="360" w:lineRule="auto"/>
        <w:ind w:firstLine="435"/>
        <w:rPr>
          <w:rFonts w:hint="eastAsia" w:ascii="宋体" w:hAnsi="宋体" w:eastAsia="宋体" w:cs="宋体"/>
          <w:color w:val="auto"/>
          <w:sz w:val="24"/>
          <w:highlight w:val="none"/>
        </w:rPr>
      </w:pPr>
    </w:p>
    <w:p w14:paraId="5E7ECF36">
      <w:pPr>
        <w:keepNext w:val="0"/>
        <w:keepLines w:val="0"/>
        <w:pageBreakBefore w:val="0"/>
        <w:widowControl/>
        <w:suppressLineNumbers w:val="0"/>
        <w:kinsoku/>
        <w:wordWrap/>
        <w:overflowPunct/>
        <w:topLinePunct w:val="0"/>
        <w:autoSpaceDE/>
        <w:autoSpaceDN/>
        <w:bidi w:val="0"/>
        <w:adjustRightInd/>
        <w:snapToGrid/>
        <w:spacing w:line="460" w:lineRule="exact"/>
        <w:ind w:firstLine="562" w:firstLineChars="200"/>
        <w:jc w:val="center"/>
        <w:textAlignment w:val="auto"/>
        <w:rPr>
          <w:rFonts w:hint="eastAsia" w:ascii="宋体" w:hAnsi="宋体" w:eastAsia="宋体" w:cs="宋体"/>
          <w:b/>
          <w:color w:val="auto"/>
          <w:sz w:val="28"/>
          <w:highlight w:val="none"/>
        </w:rPr>
      </w:pPr>
      <w:bookmarkStart w:id="16" w:name="_Toc3538"/>
      <w:bookmarkStart w:id="17" w:name="_Toc4682"/>
      <w:r>
        <w:rPr>
          <w:rFonts w:hint="eastAsia" w:ascii="宋体" w:hAnsi="宋体" w:eastAsia="宋体" w:cs="宋体"/>
          <w:b/>
          <w:color w:val="auto"/>
          <w:sz w:val="28"/>
          <w:highlight w:val="none"/>
          <w:lang w:val="en-US" w:eastAsia="zh-CN"/>
        </w:rPr>
        <w:t>第四章</w:t>
      </w:r>
      <w:r>
        <w:rPr>
          <w:rFonts w:hint="eastAsia" w:ascii="宋体" w:hAnsi="宋体" w:eastAsia="宋体" w:cs="宋体"/>
          <w:b/>
          <w:color w:val="auto"/>
          <w:sz w:val="28"/>
          <w:highlight w:val="none"/>
        </w:rPr>
        <w:t xml:space="preserve"> 评标方法和标准（最低评标价法）</w:t>
      </w:r>
      <w:bookmarkEnd w:id="16"/>
    </w:p>
    <w:p w14:paraId="079CE36A">
      <w:pPr>
        <w:spacing w:line="360" w:lineRule="auto"/>
        <w:ind w:firstLine="437"/>
        <w:outlineLvl w:val="1"/>
        <w:rPr>
          <w:rFonts w:hint="eastAsia" w:ascii="宋体" w:hAnsi="宋体" w:eastAsia="宋体" w:cs="宋体"/>
          <w:b/>
          <w:color w:val="auto"/>
          <w:sz w:val="24"/>
          <w:highlight w:val="none"/>
        </w:rPr>
      </w:pPr>
      <w:bookmarkStart w:id="18" w:name="_Toc6560"/>
      <w:bookmarkStart w:id="19" w:name="_Toc10401"/>
      <w:r>
        <w:rPr>
          <w:rFonts w:hint="eastAsia" w:ascii="宋体" w:hAnsi="宋体" w:eastAsia="宋体" w:cs="宋体"/>
          <w:b/>
          <w:color w:val="auto"/>
          <w:sz w:val="24"/>
          <w:highlight w:val="none"/>
        </w:rPr>
        <w:t>一、总则</w:t>
      </w:r>
      <w:bookmarkEnd w:id="18"/>
      <w:bookmarkEnd w:id="19"/>
    </w:p>
    <w:p w14:paraId="48901C5F">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本项目将按照招标文件第二章投标人须知的相关要求及本章的规定评标。</w:t>
      </w:r>
    </w:p>
    <w:p w14:paraId="796B9B2C">
      <w:pPr>
        <w:spacing w:line="360" w:lineRule="auto"/>
        <w:ind w:firstLine="437"/>
        <w:outlineLvl w:val="1"/>
        <w:rPr>
          <w:rFonts w:hint="eastAsia" w:ascii="宋体" w:hAnsi="宋体" w:eastAsia="宋体" w:cs="宋体"/>
          <w:b/>
          <w:color w:val="auto"/>
          <w:sz w:val="24"/>
          <w:highlight w:val="none"/>
        </w:rPr>
      </w:pPr>
      <w:bookmarkStart w:id="20" w:name="_Toc17743"/>
      <w:bookmarkStart w:id="21" w:name="_Toc28533"/>
      <w:r>
        <w:rPr>
          <w:rFonts w:hint="eastAsia" w:ascii="宋体" w:hAnsi="宋体" w:eastAsia="宋体" w:cs="宋体"/>
          <w:b/>
          <w:color w:val="auto"/>
          <w:sz w:val="24"/>
          <w:highlight w:val="none"/>
        </w:rPr>
        <w:t>二、评标方法</w:t>
      </w:r>
      <w:bookmarkEnd w:id="20"/>
      <w:bookmarkEnd w:id="21"/>
    </w:p>
    <w:p w14:paraId="1B37B07D">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2.1资格审查</w:t>
      </w:r>
    </w:p>
    <w:tbl>
      <w:tblPr>
        <w:tblStyle w:val="24"/>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927"/>
        <w:gridCol w:w="5323"/>
        <w:gridCol w:w="2221"/>
      </w:tblGrid>
      <w:tr w14:paraId="73C0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7AED3279">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b/>
                <w:color w:val="auto"/>
                <w:sz w:val="24"/>
                <w:szCs w:val="22"/>
                <w:highlight w:val="none"/>
              </w:rPr>
              <w:t>资格审查表</w:t>
            </w:r>
          </w:p>
        </w:tc>
      </w:tr>
      <w:tr w14:paraId="3A47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32CBC2E2">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941" w:type="pct"/>
            <w:tcBorders>
              <w:bottom w:val="single" w:color="auto" w:sz="4" w:space="0"/>
            </w:tcBorders>
            <w:vAlign w:val="center"/>
          </w:tcPr>
          <w:p w14:paraId="21CB90BF">
            <w:pPr>
              <w:pStyle w:val="33"/>
              <w:pBdr>
                <w:bottom w:val="none" w:color="auto" w:sz="0" w:space="0"/>
              </w:pBdr>
              <w:tabs>
                <w:tab w:val="clear" w:pos="4153"/>
                <w:tab w:val="clear" w:pos="8306"/>
              </w:tabs>
              <w:snapToGrid w:val="0"/>
              <w:spacing w:line="360" w:lineRule="auto"/>
              <w:ind w:right="-10" w:rightChars="0"/>
              <w:textAlignment w:val="auto"/>
              <w:rPr>
                <w:rFonts w:hint="eastAsia" w:ascii="宋体" w:hAnsi="宋体" w:eastAsia="宋体" w:cs="宋体"/>
                <w:color w:val="auto"/>
                <w:kern w:val="2"/>
                <w:szCs w:val="24"/>
                <w:highlight w:val="none"/>
                <w:lang w:val="en-US"/>
              </w:rPr>
            </w:pPr>
            <w:r>
              <w:rPr>
                <w:rFonts w:hint="eastAsia" w:ascii="宋体" w:hAnsi="宋体" w:eastAsia="宋体" w:cs="宋体"/>
                <w:color w:val="auto"/>
                <w:kern w:val="2"/>
                <w:szCs w:val="24"/>
                <w:highlight w:val="none"/>
                <w:lang w:val="en-US" w:eastAsia="zh-CN"/>
              </w:rPr>
              <w:t>审查指标</w:t>
            </w:r>
          </w:p>
        </w:tc>
        <w:tc>
          <w:tcPr>
            <w:tcW w:w="2599" w:type="pct"/>
            <w:tcBorders>
              <w:bottom w:val="single" w:color="auto" w:sz="4" w:space="0"/>
            </w:tcBorders>
            <w:vAlign w:val="center"/>
          </w:tcPr>
          <w:p w14:paraId="120F2507">
            <w:pPr>
              <w:adjustRightInd w:val="0"/>
              <w:snapToGrid w:val="0"/>
              <w:spacing w:line="360" w:lineRule="auto"/>
              <w:ind w:right="-10" w:right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审查标准</w:t>
            </w:r>
          </w:p>
        </w:tc>
        <w:tc>
          <w:tcPr>
            <w:tcW w:w="1081" w:type="pct"/>
            <w:tcBorders>
              <w:bottom w:val="single" w:color="auto" w:sz="4" w:space="0"/>
            </w:tcBorders>
            <w:vAlign w:val="center"/>
          </w:tcPr>
          <w:p w14:paraId="3DF8AA72">
            <w:pPr>
              <w:adjustRightInd w:val="0"/>
              <w:snapToGrid w:val="0"/>
              <w:spacing w:line="360" w:lineRule="auto"/>
              <w:ind w:right="-1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749F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6" w:type="pct"/>
            <w:tcBorders>
              <w:bottom w:val="single" w:color="auto" w:sz="4" w:space="0"/>
            </w:tcBorders>
            <w:vAlign w:val="center"/>
          </w:tcPr>
          <w:p w14:paraId="76F3161C">
            <w:pPr>
              <w:adjustRightInd w:val="0"/>
              <w:snapToGrid w:val="0"/>
              <w:spacing w:line="360" w:lineRule="auto"/>
              <w:ind w:right="-10" w:rightChars="0"/>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sz w:val="24"/>
                <w:highlight w:val="none"/>
              </w:rPr>
              <w:t>1</w:t>
            </w:r>
          </w:p>
        </w:tc>
        <w:tc>
          <w:tcPr>
            <w:tcW w:w="941" w:type="pct"/>
            <w:tcBorders>
              <w:bottom w:val="single" w:color="auto" w:sz="4" w:space="0"/>
            </w:tcBorders>
            <w:vAlign w:val="center"/>
          </w:tcPr>
          <w:p w14:paraId="131783BA">
            <w:pPr>
              <w:spacing w:after="50" w:line="360" w:lineRule="auto"/>
              <w:ind w:right="-10" w:rightChars="0"/>
              <w:jc w:val="center"/>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pacing w:val="9"/>
                <w:sz w:val="24"/>
                <w:szCs w:val="24"/>
                <w:highlight w:val="none"/>
              </w:rPr>
              <w:t>营业执照等证明</w:t>
            </w:r>
            <w:r>
              <w:rPr>
                <w:rFonts w:hint="eastAsia" w:ascii="宋体" w:hAnsi="宋体" w:eastAsia="宋体" w:cs="宋体"/>
                <w:color w:val="auto"/>
                <w:spacing w:val="-3"/>
                <w:sz w:val="24"/>
                <w:szCs w:val="24"/>
                <w:highlight w:val="none"/>
              </w:rPr>
              <w:t>文件</w:t>
            </w:r>
          </w:p>
        </w:tc>
        <w:tc>
          <w:tcPr>
            <w:tcW w:w="2599" w:type="pct"/>
            <w:tcBorders>
              <w:bottom w:val="single" w:color="auto" w:sz="4" w:space="0"/>
            </w:tcBorders>
            <w:vAlign w:val="center"/>
          </w:tcPr>
          <w:p w14:paraId="7A7397D8">
            <w:pPr>
              <w:spacing w:after="50" w:line="360" w:lineRule="auto"/>
              <w:ind w:right="-10" w:righ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供有效的营业执照；</w:t>
            </w:r>
          </w:p>
          <w:p w14:paraId="3733FC75">
            <w:pPr>
              <w:spacing w:after="50" w:line="360" w:lineRule="auto"/>
              <w:ind w:right="-10" w:righ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供有效的事业单位法人证书；</w:t>
            </w:r>
          </w:p>
          <w:p w14:paraId="6C13A953">
            <w:pPr>
              <w:spacing w:after="50" w:line="360" w:lineRule="auto"/>
              <w:ind w:right="-10" w:righ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登记证书等证明文件；</w:t>
            </w:r>
          </w:p>
          <w:p w14:paraId="1FB91E83">
            <w:pPr>
              <w:spacing w:after="50" w:line="360" w:lineRule="auto"/>
              <w:ind w:right="-10" w:righ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供有效的个体工商户营业执照；</w:t>
            </w:r>
          </w:p>
          <w:p w14:paraId="03472AD4">
            <w:pPr>
              <w:spacing w:after="50" w:line="360" w:lineRule="auto"/>
              <w:ind w:right="-10" w:rightChars="0"/>
              <w:jc w:val="left"/>
              <w:rPr>
                <w:rFonts w:hint="eastAsia" w:ascii="宋体" w:hAnsi="宋体" w:eastAsia="宋体" w:cs="宋体"/>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81" w:type="pct"/>
            <w:vAlign w:val="center"/>
          </w:tcPr>
          <w:p w14:paraId="764CF86F">
            <w:pPr>
              <w:spacing w:line="360" w:lineRule="auto"/>
              <w:jc w:val="left"/>
              <w:rPr>
                <w:rFonts w:hint="eastAsia" w:ascii="宋体" w:hAnsi="宋体" w:eastAsia="宋体" w:cs="宋体"/>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r w14:paraId="2E0B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6" w:type="pct"/>
            <w:tcBorders>
              <w:bottom w:val="single" w:color="auto" w:sz="4" w:space="0"/>
            </w:tcBorders>
            <w:vAlign w:val="center"/>
          </w:tcPr>
          <w:p w14:paraId="36D28044">
            <w:pPr>
              <w:adjustRightInd w:val="0"/>
              <w:snapToGrid w:val="0"/>
              <w:spacing w:line="360" w:lineRule="auto"/>
              <w:ind w:right="-10" w:right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941" w:type="pct"/>
            <w:tcBorders>
              <w:bottom w:val="single" w:color="auto" w:sz="4" w:space="0"/>
            </w:tcBorders>
            <w:vAlign w:val="center"/>
          </w:tcPr>
          <w:p w14:paraId="2644B0F4">
            <w:pPr>
              <w:spacing w:after="50" w:line="360" w:lineRule="auto"/>
              <w:ind w:right="-10" w:rightChars="0"/>
              <w:jc w:val="center"/>
              <w:rPr>
                <w:rFonts w:hint="eastAsia" w:ascii="宋体" w:hAnsi="宋体" w:eastAsia="宋体" w:cs="宋体"/>
                <w:color w:val="auto"/>
                <w:sz w:val="24"/>
                <w:szCs w:val="28"/>
                <w:highlight w:val="none"/>
                <w:lang w:val="en-US"/>
              </w:rPr>
            </w:pPr>
            <w:r>
              <w:rPr>
                <w:rFonts w:hint="eastAsia" w:ascii="宋体" w:hAnsi="宋体" w:eastAsia="宋体" w:cs="宋体"/>
                <w:color w:val="auto"/>
                <w:sz w:val="24"/>
                <w:szCs w:val="18"/>
                <w:highlight w:val="none"/>
                <w:lang w:val="en-US" w:eastAsia="zh-CN"/>
              </w:rPr>
              <w:t>投标人资格声明书</w:t>
            </w:r>
          </w:p>
        </w:tc>
        <w:tc>
          <w:tcPr>
            <w:tcW w:w="2599" w:type="pct"/>
            <w:tcBorders>
              <w:bottom w:val="single" w:color="auto" w:sz="4" w:space="0"/>
            </w:tcBorders>
            <w:vAlign w:val="center"/>
          </w:tcPr>
          <w:p w14:paraId="2DE36D60">
            <w:pPr>
              <w:spacing w:after="50" w:line="360" w:lineRule="auto"/>
              <w:ind w:right="-10" w:rightChars="0"/>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81" w:type="pct"/>
            <w:vAlign w:val="center"/>
          </w:tcPr>
          <w:p w14:paraId="6C73FBA9">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48C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64E5A603">
            <w:pPr>
              <w:adjustRightInd w:val="0"/>
              <w:snapToGrid w:val="0"/>
              <w:spacing w:line="360" w:lineRule="auto"/>
              <w:ind w:right="-1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941" w:type="pct"/>
            <w:tcBorders>
              <w:bottom w:val="single" w:color="auto" w:sz="4" w:space="0"/>
            </w:tcBorders>
            <w:vAlign w:val="center"/>
          </w:tcPr>
          <w:p w14:paraId="7C8E227C">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投标人信用记录</w:t>
            </w:r>
          </w:p>
        </w:tc>
        <w:tc>
          <w:tcPr>
            <w:tcW w:w="2599" w:type="pct"/>
            <w:tcBorders>
              <w:bottom w:val="single" w:color="auto" w:sz="4" w:space="0"/>
            </w:tcBorders>
            <w:vAlign w:val="center"/>
          </w:tcPr>
          <w:p w14:paraId="76315707">
            <w:pPr>
              <w:spacing w:after="50" w:line="360" w:lineRule="auto"/>
              <w:ind w:right="-10" w:rightChars="0"/>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s="宋体"/>
                <w:color w:val="auto"/>
                <w:sz w:val="24"/>
                <w:szCs w:val="28"/>
                <w:highlight w:val="none"/>
              </w:rPr>
              <w:t>的</w:t>
            </w:r>
            <w:r>
              <w:rPr>
                <w:rFonts w:hint="eastAsia" w:ascii="宋体" w:hAnsi="宋体" w:eastAsia="宋体" w:cs="宋体"/>
                <w:color w:val="auto"/>
                <w:sz w:val="24"/>
                <w:szCs w:val="18"/>
                <w:highlight w:val="none"/>
              </w:rPr>
              <w:t>不良信用记录情形</w:t>
            </w:r>
          </w:p>
        </w:tc>
        <w:tc>
          <w:tcPr>
            <w:tcW w:w="1081" w:type="pct"/>
            <w:tcBorders>
              <w:bottom w:val="single" w:color="auto" w:sz="4" w:space="0"/>
            </w:tcBorders>
            <w:vAlign w:val="center"/>
          </w:tcPr>
          <w:p w14:paraId="3B797CE4">
            <w:pPr>
              <w:spacing w:line="360" w:lineRule="auto"/>
              <w:jc w:val="left"/>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sz w:val="24"/>
                <w:szCs w:val="24"/>
                <w:highlight w:val="none"/>
                <w:lang w:val="en-US" w:eastAsia="zh-CN"/>
              </w:rPr>
              <w:t>自行查询或承诺</w:t>
            </w:r>
          </w:p>
        </w:tc>
      </w:tr>
      <w:tr w14:paraId="2E54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21FDDA45">
            <w:pPr>
              <w:adjustRightInd w:val="0"/>
              <w:snapToGrid w:val="0"/>
              <w:spacing w:line="360" w:lineRule="auto"/>
              <w:ind w:right="-10" w:right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w:t>
            </w:r>
          </w:p>
        </w:tc>
        <w:tc>
          <w:tcPr>
            <w:tcW w:w="941" w:type="pct"/>
            <w:tcBorders>
              <w:bottom w:val="single" w:color="auto" w:sz="4" w:space="0"/>
            </w:tcBorders>
            <w:vAlign w:val="center"/>
          </w:tcPr>
          <w:p w14:paraId="0990B5E9">
            <w:pPr>
              <w:spacing w:after="50" w:line="360" w:lineRule="auto"/>
              <w:ind w:right="-10"/>
              <w:jc w:val="both"/>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其它落实政府采</w:t>
            </w:r>
            <w:r>
              <w:rPr>
                <w:rFonts w:hint="eastAsia" w:ascii="宋体" w:hAnsi="宋体" w:eastAsia="宋体" w:cs="宋体"/>
                <w:color w:val="auto"/>
                <w:spacing w:val="11"/>
                <w:sz w:val="24"/>
                <w:szCs w:val="24"/>
                <w:highlight w:val="none"/>
              </w:rPr>
              <w:t>购政策的资格要</w:t>
            </w:r>
            <w:r>
              <w:rPr>
                <w:rFonts w:hint="eastAsia" w:ascii="宋体" w:hAnsi="宋体" w:eastAsia="宋体" w:cs="宋体"/>
                <w:color w:val="auto"/>
                <w:sz w:val="24"/>
                <w:szCs w:val="24"/>
                <w:highlight w:val="none"/>
              </w:rPr>
              <w:t>求</w:t>
            </w:r>
          </w:p>
        </w:tc>
        <w:tc>
          <w:tcPr>
            <w:tcW w:w="2599" w:type="pct"/>
            <w:tcBorders>
              <w:bottom w:val="single" w:color="auto" w:sz="4" w:space="0"/>
            </w:tcBorders>
            <w:vAlign w:val="center"/>
          </w:tcPr>
          <w:p w14:paraId="110F5924">
            <w:pPr>
              <w:spacing w:after="50" w:line="360" w:lineRule="auto"/>
              <w:ind w:right="-10"/>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如有，见第一章《投标邀请》</w:t>
            </w:r>
          </w:p>
        </w:tc>
        <w:tc>
          <w:tcPr>
            <w:tcW w:w="1081" w:type="pct"/>
            <w:tcBorders>
              <w:bottom w:val="single" w:color="auto" w:sz="4" w:space="0"/>
            </w:tcBorders>
            <w:vAlign w:val="center"/>
          </w:tcPr>
          <w:p w14:paraId="3BA6D192">
            <w:pPr>
              <w:spacing w:after="50" w:line="360" w:lineRule="auto"/>
              <w:ind w:right="-10"/>
              <w:jc w:val="both"/>
              <w:rPr>
                <w:rFonts w:hint="eastAsia" w:ascii="宋体" w:hAnsi="宋体" w:eastAsia="宋体" w:cs="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r w14:paraId="42BF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14:paraId="3E279ADF">
            <w:pPr>
              <w:adjustRightInd w:val="0"/>
              <w:snapToGrid w:val="0"/>
              <w:spacing w:line="360" w:lineRule="auto"/>
              <w:ind w:right="-10" w:rightChars="0"/>
              <w:jc w:val="center"/>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6</w:t>
            </w:r>
          </w:p>
        </w:tc>
        <w:tc>
          <w:tcPr>
            <w:tcW w:w="941" w:type="pct"/>
            <w:vAlign w:val="center"/>
          </w:tcPr>
          <w:p w14:paraId="7247A7C4">
            <w:pPr>
              <w:spacing w:after="50" w:line="360" w:lineRule="auto"/>
              <w:ind w:right="-10"/>
              <w:jc w:val="both"/>
              <w:rPr>
                <w:rFonts w:hint="eastAsia"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rPr>
              <w:t>其他特定资格要求</w:t>
            </w:r>
          </w:p>
        </w:tc>
        <w:tc>
          <w:tcPr>
            <w:tcW w:w="2599" w:type="pct"/>
            <w:vAlign w:val="center"/>
          </w:tcPr>
          <w:p w14:paraId="331407C4">
            <w:pPr>
              <w:spacing w:after="50" w:line="360" w:lineRule="auto"/>
              <w:ind w:right="-10"/>
              <w:jc w:val="both"/>
              <w:rPr>
                <w:rFonts w:hint="eastAsia"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如有，见第一章《投标邀请》</w:t>
            </w:r>
          </w:p>
        </w:tc>
        <w:tc>
          <w:tcPr>
            <w:tcW w:w="1081" w:type="pct"/>
            <w:vAlign w:val="center"/>
          </w:tcPr>
          <w:p w14:paraId="2E70B3EE">
            <w:pPr>
              <w:spacing w:after="50" w:line="360" w:lineRule="auto"/>
              <w:ind w:right="-10"/>
              <w:jc w:val="both"/>
              <w:rPr>
                <w:rFonts w:hint="eastAsia"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lang w:eastAsia="zh-CN"/>
              </w:rPr>
              <w:t>复印件加盖公章</w:t>
            </w:r>
          </w:p>
        </w:tc>
      </w:tr>
    </w:tbl>
    <w:p w14:paraId="2B85BDFF">
      <w:pPr>
        <w:spacing w:line="360" w:lineRule="auto"/>
        <w:ind w:firstLine="435"/>
        <w:rPr>
          <w:rFonts w:hint="eastAsia" w:ascii="宋体" w:hAnsi="宋体" w:eastAsia="宋体" w:cs="宋体"/>
          <w:color w:val="auto"/>
          <w:sz w:val="24"/>
          <w:highlight w:val="none"/>
        </w:rPr>
      </w:pPr>
      <w:bookmarkStart w:id="22" w:name="_Hlk16461707"/>
      <w:r>
        <w:rPr>
          <w:rFonts w:hint="eastAsia" w:ascii="宋体" w:hAnsi="宋体" w:eastAsia="宋体" w:cs="宋体"/>
          <w:b/>
          <w:bCs/>
          <w:color w:val="auto"/>
          <w:sz w:val="24"/>
          <w:highlight w:val="none"/>
        </w:rPr>
        <w:t>资格审查指标通过标准：</w:t>
      </w:r>
      <w:r>
        <w:rPr>
          <w:rFonts w:hint="eastAsia" w:ascii="宋体" w:hAnsi="宋体" w:eastAsia="宋体" w:cs="宋体"/>
          <w:color w:val="auto"/>
          <w:sz w:val="24"/>
          <w:highlight w:val="none"/>
        </w:rPr>
        <w:t>投标人必须通过资格审查表中的全部评审指标。</w:t>
      </w:r>
    </w:p>
    <w:bookmarkEnd w:id="22"/>
    <w:p w14:paraId="06198EE0">
      <w:pPr>
        <w:spacing w:line="360" w:lineRule="auto"/>
        <w:ind w:firstLine="437"/>
        <w:outlineLvl w:val="2"/>
        <w:rPr>
          <w:rFonts w:hint="eastAsia" w:ascii="宋体" w:hAnsi="宋体" w:eastAsia="宋体" w:cs="宋体"/>
          <w:color w:val="auto"/>
          <w:sz w:val="24"/>
          <w:highlight w:val="none"/>
        </w:rPr>
      </w:pPr>
      <w:r>
        <w:rPr>
          <w:rFonts w:hint="eastAsia" w:ascii="宋体" w:hAnsi="宋体" w:eastAsia="宋体" w:cs="宋体"/>
          <w:color w:val="auto"/>
          <w:sz w:val="24"/>
          <w:highlight w:val="none"/>
        </w:rPr>
        <w:t>2.2符合性审查</w:t>
      </w:r>
    </w:p>
    <w:p w14:paraId="79DE64B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评标委员会对通过资格审查的投标人的投标文件进行符合性审查，以确定其是否满足招标文件的实质性要求。符合性审查表如下：</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2475"/>
        <w:gridCol w:w="3656"/>
        <w:gridCol w:w="2935"/>
      </w:tblGrid>
      <w:tr w14:paraId="469F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CC91E71">
            <w:pPr>
              <w:adjustRightInd w:val="0"/>
              <w:snapToGrid w:val="0"/>
              <w:spacing w:line="360" w:lineRule="auto"/>
              <w:ind w:right="-10"/>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符合性审查表</w:t>
            </w:r>
          </w:p>
        </w:tc>
      </w:tr>
      <w:tr w14:paraId="1C80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3B13A0A8">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1242" w:type="pct"/>
            <w:tcBorders>
              <w:bottom w:val="single" w:color="auto" w:sz="4" w:space="0"/>
            </w:tcBorders>
            <w:vAlign w:val="center"/>
          </w:tcPr>
          <w:p w14:paraId="53EC329D">
            <w:pPr>
              <w:pStyle w:val="33"/>
              <w:pBdr>
                <w:bottom w:val="none" w:color="auto" w:sz="0" w:space="0"/>
              </w:pBdr>
              <w:tabs>
                <w:tab w:val="clear" w:pos="4153"/>
                <w:tab w:val="clear" w:pos="8306"/>
              </w:tabs>
              <w:snapToGrid w:val="0"/>
              <w:spacing w:line="360" w:lineRule="auto"/>
              <w:ind w:right="-10"/>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审查指标</w:t>
            </w:r>
          </w:p>
        </w:tc>
        <w:tc>
          <w:tcPr>
            <w:tcW w:w="1835" w:type="pct"/>
            <w:tcBorders>
              <w:bottom w:val="single" w:color="auto" w:sz="4" w:space="0"/>
            </w:tcBorders>
            <w:vAlign w:val="center"/>
          </w:tcPr>
          <w:p w14:paraId="5546902E">
            <w:pPr>
              <w:adjustRightInd w:val="0"/>
              <w:snapToGrid w:val="0"/>
              <w:spacing w:line="360" w:lineRule="auto"/>
              <w:ind w:right="-10"/>
              <w:jc w:val="center"/>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审查标准</w:t>
            </w:r>
          </w:p>
        </w:tc>
        <w:tc>
          <w:tcPr>
            <w:tcW w:w="1472" w:type="pct"/>
            <w:tcBorders>
              <w:bottom w:val="single" w:color="auto" w:sz="4" w:space="0"/>
            </w:tcBorders>
            <w:vAlign w:val="center"/>
          </w:tcPr>
          <w:p w14:paraId="198716C6">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格式要求</w:t>
            </w:r>
          </w:p>
        </w:tc>
      </w:tr>
      <w:tr w14:paraId="7AF7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0499A1D7">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242" w:type="pct"/>
            <w:vAlign w:val="center"/>
          </w:tcPr>
          <w:p w14:paraId="0B162288">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开标一览表</w:t>
            </w:r>
          </w:p>
        </w:tc>
        <w:tc>
          <w:tcPr>
            <w:tcW w:w="1835" w:type="pct"/>
            <w:vAlign w:val="center"/>
          </w:tcPr>
          <w:p w14:paraId="49E19E14">
            <w:pPr>
              <w:spacing w:after="50" w:line="360" w:lineRule="auto"/>
              <w:ind w:right="-10"/>
              <w:jc w:val="center"/>
              <w:rPr>
                <w:rFonts w:hint="eastAsia" w:ascii="宋体" w:hAnsi="宋体" w:eastAsia="宋体" w:cs="宋体"/>
                <w:color w:val="auto"/>
                <w:sz w:val="24"/>
                <w:szCs w:val="28"/>
                <w:highlight w:val="none"/>
                <w:lang w:eastAsia="zh-CN"/>
              </w:rPr>
            </w:pPr>
            <w:r>
              <w:rPr>
                <w:rFonts w:hint="eastAsia" w:ascii="宋体" w:hAnsi="宋体" w:eastAsia="宋体" w:cs="宋体"/>
                <w:color w:val="auto"/>
                <w:sz w:val="24"/>
                <w:szCs w:val="28"/>
                <w:highlight w:val="none"/>
              </w:rPr>
              <w:t>格式、填写要求符合招标文件规定并加盖投标人</w:t>
            </w:r>
            <w:r>
              <w:rPr>
                <w:rFonts w:hint="eastAsia" w:ascii="宋体" w:hAnsi="宋体" w:eastAsia="宋体" w:cs="宋体"/>
                <w:color w:val="auto"/>
                <w:sz w:val="24"/>
                <w:szCs w:val="28"/>
                <w:highlight w:val="none"/>
                <w:lang w:val="en-US" w:eastAsia="zh-CN"/>
              </w:rPr>
              <w:t>公章</w:t>
            </w:r>
          </w:p>
        </w:tc>
        <w:tc>
          <w:tcPr>
            <w:tcW w:w="1472" w:type="pct"/>
            <w:vAlign w:val="center"/>
          </w:tcPr>
          <w:p w14:paraId="2A70E83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3F66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FA806D5">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242" w:type="pct"/>
            <w:vAlign w:val="center"/>
          </w:tcPr>
          <w:p w14:paraId="56BB1444">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投标函</w:t>
            </w:r>
          </w:p>
        </w:tc>
        <w:tc>
          <w:tcPr>
            <w:tcW w:w="1835" w:type="pct"/>
            <w:vAlign w:val="center"/>
          </w:tcPr>
          <w:p w14:paraId="3D667300">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w:t>
            </w:r>
            <w:r>
              <w:rPr>
                <w:rFonts w:hint="eastAsia" w:ascii="宋体" w:hAnsi="宋体" w:eastAsia="宋体" w:cs="宋体"/>
                <w:color w:val="auto"/>
                <w:sz w:val="24"/>
                <w:szCs w:val="28"/>
                <w:highlight w:val="none"/>
                <w:lang w:val="en-US" w:eastAsia="zh-CN"/>
              </w:rPr>
              <w:t>公章</w:t>
            </w:r>
          </w:p>
        </w:tc>
        <w:tc>
          <w:tcPr>
            <w:tcW w:w="1472" w:type="pct"/>
            <w:vAlign w:val="center"/>
          </w:tcPr>
          <w:p w14:paraId="67490637">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7E5E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842ACEA">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242" w:type="pct"/>
            <w:vAlign w:val="center"/>
          </w:tcPr>
          <w:p w14:paraId="07C19EB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授权书</w:t>
            </w:r>
          </w:p>
        </w:tc>
        <w:tc>
          <w:tcPr>
            <w:tcW w:w="1835" w:type="pct"/>
            <w:vAlign w:val="center"/>
          </w:tcPr>
          <w:p w14:paraId="7CF38B3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格式、填写要求符合招标文件规定并加盖投标人</w:t>
            </w:r>
            <w:r>
              <w:rPr>
                <w:rFonts w:hint="eastAsia" w:ascii="宋体" w:hAnsi="宋体" w:eastAsia="宋体" w:cs="宋体"/>
                <w:color w:val="auto"/>
                <w:sz w:val="24"/>
                <w:szCs w:val="28"/>
                <w:highlight w:val="none"/>
                <w:lang w:val="en-US" w:eastAsia="zh-CN"/>
              </w:rPr>
              <w:t>公章</w:t>
            </w:r>
          </w:p>
        </w:tc>
        <w:tc>
          <w:tcPr>
            <w:tcW w:w="1472" w:type="pct"/>
            <w:vAlign w:val="center"/>
          </w:tcPr>
          <w:p w14:paraId="075E1724">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法定代表人参加投标的无需此件，提供身份证明即可。详见第六章投标文件格式</w:t>
            </w:r>
            <w:r>
              <w:rPr>
                <w:rFonts w:hint="eastAsia" w:ascii="宋体" w:hAnsi="宋体" w:eastAsia="宋体" w:cs="宋体"/>
                <w:color w:val="auto"/>
                <w:sz w:val="24"/>
                <w:highlight w:val="none"/>
                <w:lang w:eastAsia="zh-CN"/>
              </w:rPr>
              <w:t>。</w:t>
            </w:r>
          </w:p>
        </w:tc>
      </w:tr>
      <w:tr w14:paraId="0E29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1D1769A9">
            <w:pPr>
              <w:adjustRightInd w:val="0"/>
              <w:snapToGrid w:val="0"/>
              <w:spacing w:line="360" w:lineRule="auto"/>
              <w:ind w:right="-1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242" w:type="pct"/>
            <w:vAlign w:val="center"/>
          </w:tcPr>
          <w:p w14:paraId="74D29C3D">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投标报价</w:t>
            </w:r>
          </w:p>
        </w:tc>
        <w:tc>
          <w:tcPr>
            <w:tcW w:w="1835" w:type="pct"/>
            <w:vAlign w:val="center"/>
          </w:tcPr>
          <w:p w14:paraId="32CE8F2C">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w:t>
            </w:r>
            <w:r>
              <w:rPr>
                <w:rFonts w:hint="eastAsia" w:ascii="宋体" w:hAnsi="宋体" w:eastAsia="宋体" w:cs="宋体"/>
                <w:color w:val="auto"/>
                <w:sz w:val="24"/>
                <w:highlight w:val="none"/>
              </w:rPr>
              <w:t>招标文件投标人须知正文第</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条要求</w:t>
            </w:r>
          </w:p>
        </w:tc>
        <w:tc>
          <w:tcPr>
            <w:tcW w:w="1472" w:type="pct"/>
            <w:vAlign w:val="center"/>
          </w:tcPr>
          <w:p w14:paraId="127B76C0">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14C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3FA3436">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5</w:t>
            </w:r>
          </w:p>
        </w:tc>
        <w:tc>
          <w:tcPr>
            <w:tcW w:w="1242" w:type="pct"/>
            <w:vAlign w:val="center"/>
          </w:tcPr>
          <w:p w14:paraId="5A837F10">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商务响应情况</w:t>
            </w:r>
          </w:p>
        </w:tc>
        <w:tc>
          <w:tcPr>
            <w:tcW w:w="1835" w:type="pct"/>
            <w:vAlign w:val="center"/>
          </w:tcPr>
          <w:p w14:paraId="5613D4FA">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符合招标文件采购需求中对付款方式、</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地点、</w:t>
            </w:r>
            <w:r>
              <w:rPr>
                <w:rFonts w:hint="eastAsia" w:ascii="宋体" w:hAnsi="宋体" w:eastAsia="宋体" w:cs="宋体"/>
                <w:color w:val="auto"/>
                <w:sz w:val="24"/>
                <w:szCs w:val="28"/>
                <w:highlight w:val="none"/>
                <w:lang w:val="en-US" w:eastAsia="zh-CN"/>
              </w:rPr>
              <w:t>服务</w:t>
            </w:r>
            <w:r>
              <w:rPr>
                <w:rFonts w:hint="eastAsia" w:ascii="宋体" w:hAnsi="宋体" w:eastAsia="宋体" w:cs="宋体"/>
                <w:color w:val="auto"/>
                <w:sz w:val="24"/>
                <w:szCs w:val="28"/>
                <w:highlight w:val="none"/>
              </w:rPr>
              <w:t>期限</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1472" w:type="pct"/>
            <w:vAlign w:val="center"/>
          </w:tcPr>
          <w:p w14:paraId="16E695A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0244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A8BD425">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6</w:t>
            </w:r>
          </w:p>
        </w:tc>
        <w:tc>
          <w:tcPr>
            <w:tcW w:w="2321" w:type="dxa"/>
            <w:vAlign w:val="center"/>
          </w:tcPr>
          <w:p w14:paraId="31314EAD">
            <w:pPr>
              <w:spacing w:line="360" w:lineRule="auto"/>
              <w:ind w:firstLine="240" w:firstLineChars="100"/>
              <w:outlineLvl w:val="2"/>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技术</w:t>
            </w:r>
            <w:r>
              <w:rPr>
                <w:rFonts w:hint="eastAsia" w:ascii="宋体" w:hAnsi="宋体" w:eastAsia="宋体" w:cs="宋体"/>
                <w:color w:val="auto"/>
                <w:sz w:val="24"/>
                <w:szCs w:val="28"/>
                <w:highlight w:val="none"/>
              </w:rPr>
              <w:t>响应情况</w:t>
            </w:r>
          </w:p>
        </w:tc>
        <w:tc>
          <w:tcPr>
            <w:tcW w:w="3430" w:type="dxa"/>
            <w:vAlign w:val="center"/>
          </w:tcPr>
          <w:p w14:paraId="52501C1E">
            <w:pPr>
              <w:spacing w:after="50" w:line="360" w:lineRule="auto"/>
              <w:ind w:right="-10" w:rightChars="0"/>
              <w:jc w:val="center"/>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rPr>
              <w:t>符合招标文件采购需求中货物技术参数</w:t>
            </w:r>
            <w:r>
              <w:rPr>
                <w:rFonts w:hint="eastAsia" w:ascii="宋体" w:hAnsi="宋体" w:eastAsia="宋体" w:cs="宋体"/>
                <w:color w:val="auto"/>
                <w:sz w:val="24"/>
                <w:szCs w:val="28"/>
                <w:highlight w:val="none"/>
                <w:lang w:val="en-US" w:eastAsia="zh-CN"/>
              </w:rPr>
              <w:t>等实质性</w:t>
            </w:r>
            <w:r>
              <w:rPr>
                <w:rFonts w:hint="eastAsia" w:ascii="宋体" w:hAnsi="宋体" w:eastAsia="宋体" w:cs="宋体"/>
                <w:color w:val="auto"/>
                <w:sz w:val="24"/>
                <w:szCs w:val="28"/>
                <w:highlight w:val="none"/>
              </w:rPr>
              <w:t>要求</w:t>
            </w:r>
          </w:p>
        </w:tc>
        <w:tc>
          <w:tcPr>
            <w:tcW w:w="1472" w:type="pct"/>
            <w:vAlign w:val="center"/>
          </w:tcPr>
          <w:p w14:paraId="45F1BF72">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详见第六章投标文件格式</w:t>
            </w:r>
            <w:r>
              <w:rPr>
                <w:rFonts w:hint="eastAsia" w:ascii="宋体" w:hAnsi="宋体" w:eastAsia="宋体" w:cs="宋体"/>
                <w:color w:val="auto"/>
                <w:sz w:val="24"/>
                <w:highlight w:val="none"/>
                <w:lang w:eastAsia="zh-CN"/>
              </w:rPr>
              <w:t>。</w:t>
            </w:r>
          </w:p>
        </w:tc>
      </w:tr>
      <w:tr w14:paraId="29A3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5F7DACC">
            <w:pPr>
              <w:adjustRightInd w:val="0"/>
              <w:snapToGrid w:val="0"/>
              <w:spacing w:line="360" w:lineRule="auto"/>
              <w:ind w:right="-10"/>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7</w:t>
            </w:r>
          </w:p>
        </w:tc>
        <w:tc>
          <w:tcPr>
            <w:tcW w:w="1242" w:type="pct"/>
            <w:vAlign w:val="center"/>
          </w:tcPr>
          <w:p w14:paraId="60234B12">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其他要求</w:t>
            </w:r>
          </w:p>
        </w:tc>
        <w:tc>
          <w:tcPr>
            <w:tcW w:w="1835" w:type="pct"/>
            <w:vAlign w:val="center"/>
          </w:tcPr>
          <w:p w14:paraId="2F3E51AE">
            <w:pPr>
              <w:spacing w:after="50" w:line="360" w:lineRule="auto"/>
              <w:ind w:right="-10"/>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符合法律、行政法规规定的其他条件或招标文件列明的其他</w:t>
            </w:r>
            <w:r>
              <w:rPr>
                <w:rFonts w:hint="eastAsia" w:ascii="宋体" w:hAnsi="宋体" w:eastAsia="宋体" w:cs="宋体"/>
                <w:color w:val="auto"/>
                <w:sz w:val="24"/>
                <w:szCs w:val="28"/>
                <w:highlight w:val="none"/>
                <w:lang w:val="en-US" w:eastAsia="zh-CN"/>
              </w:rPr>
              <w:t>实质性</w:t>
            </w:r>
            <w:r>
              <w:rPr>
                <w:rFonts w:hint="eastAsia" w:ascii="宋体" w:hAnsi="宋体" w:eastAsia="宋体" w:cs="宋体"/>
                <w:color w:val="auto"/>
                <w:sz w:val="24"/>
                <w:szCs w:val="28"/>
                <w:highlight w:val="none"/>
              </w:rPr>
              <w:t>要求</w:t>
            </w:r>
          </w:p>
        </w:tc>
        <w:tc>
          <w:tcPr>
            <w:tcW w:w="1472" w:type="pct"/>
            <w:vAlign w:val="center"/>
          </w:tcPr>
          <w:p w14:paraId="19E73918">
            <w:pPr>
              <w:adjustRightInd w:val="0"/>
              <w:snapToGrid w:val="0"/>
              <w:spacing w:line="360" w:lineRule="auto"/>
              <w:ind w:right="-10"/>
              <w:jc w:val="center"/>
              <w:rPr>
                <w:rFonts w:hint="eastAsia" w:ascii="宋体" w:hAnsi="宋体" w:eastAsia="宋体" w:cs="宋体"/>
                <w:color w:val="auto"/>
                <w:sz w:val="24"/>
                <w:highlight w:val="none"/>
              </w:rPr>
            </w:pPr>
          </w:p>
        </w:tc>
      </w:tr>
    </w:tbl>
    <w:p w14:paraId="475E12FA">
      <w:pPr>
        <w:spacing w:line="360" w:lineRule="auto"/>
        <w:ind w:firstLine="435"/>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符合性审查指标通过标准：</w:t>
      </w:r>
      <w:r>
        <w:rPr>
          <w:rFonts w:hint="eastAsia" w:ascii="宋体" w:hAnsi="宋体" w:eastAsia="宋体" w:cs="宋体"/>
          <w:color w:val="auto"/>
          <w:sz w:val="24"/>
          <w:highlight w:val="none"/>
        </w:rPr>
        <w:t>投标人必须通过符合性审查表中的全部评审指标。</w:t>
      </w:r>
    </w:p>
    <w:p w14:paraId="667414C6">
      <w:pPr>
        <w:spacing w:line="360" w:lineRule="auto"/>
        <w:jc w:val="center"/>
        <w:outlineLvl w:val="0"/>
        <w:rPr>
          <w:rFonts w:hint="eastAsia" w:ascii="宋体" w:hAnsi="宋体" w:eastAsia="宋体" w:cs="宋体"/>
          <w:b/>
          <w:color w:val="auto"/>
          <w:sz w:val="28"/>
          <w:highlight w:val="none"/>
        </w:rPr>
      </w:pPr>
    </w:p>
    <w:p w14:paraId="25F76BB0">
      <w:pPr>
        <w:spacing w:line="360" w:lineRule="auto"/>
        <w:jc w:val="center"/>
        <w:outlineLvl w:val="0"/>
        <w:rPr>
          <w:rFonts w:hint="eastAsia" w:ascii="宋体" w:hAnsi="宋体" w:eastAsia="宋体" w:cs="宋体"/>
          <w:b/>
          <w:color w:val="auto"/>
          <w:sz w:val="28"/>
          <w:highlight w:val="none"/>
        </w:rPr>
      </w:pPr>
    </w:p>
    <w:p w14:paraId="485ABE43">
      <w:pPr>
        <w:spacing w:line="360" w:lineRule="auto"/>
        <w:jc w:val="center"/>
        <w:outlineLvl w:val="0"/>
        <w:rPr>
          <w:rFonts w:hint="eastAsia" w:ascii="宋体" w:hAnsi="宋体" w:eastAsia="宋体" w:cs="宋体"/>
          <w:b/>
          <w:color w:val="auto"/>
          <w:sz w:val="28"/>
          <w:highlight w:val="none"/>
        </w:rPr>
      </w:pPr>
    </w:p>
    <w:p w14:paraId="70C33A7F">
      <w:pPr>
        <w:spacing w:line="360" w:lineRule="auto"/>
        <w:jc w:val="center"/>
        <w:outlineLvl w:val="0"/>
        <w:rPr>
          <w:rFonts w:hint="eastAsia" w:ascii="宋体" w:hAnsi="宋体" w:eastAsia="宋体" w:cs="宋体"/>
          <w:b/>
          <w:color w:val="auto"/>
          <w:sz w:val="28"/>
          <w:highlight w:val="none"/>
        </w:rPr>
      </w:pPr>
    </w:p>
    <w:p w14:paraId="6C3D2D25">
      <w:pPr>
        <w:widowControl/>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28"/>
          <w:highlight w:val="none"/>
        </w:rPr>
        <w:t xml:space="preserve">第五章  </w:t>
      </w:r>
      <w:bookmarkEnd w:id="17"/>
      <w:bookmarkStart w:id="23" w:name="_Toc20313"/>
      <w:r>
        <w:rPr>
          <w:rFonts w:hint="eastAsia" w:ascii="宋体" w:hAnsi="宋体" w:eastAsia="宋体" w:cs="宋体"/>
          <w:b/>
          <w:color w:val="auto"/>
          <w:sz w:val="32"/>
          <w:szCs w:val="32"/>
          <w:highlight w:val="none"/>
        </w:rPr>
        <w:t>合同条款及格式参考范本（服务类）</w:t>
      </w:r>
    </w:p>
    <w:p w14:paraId="58C59512">
      <w:pPr>
        <w:widowControl/>
        <w:spacing w:line="400" w:lineRule="exact"/>
        <w:ind w:left="360"/>
        <w:jc w:val="center"/>
        <w:textAlignment w:val="baseline"/>
        <w:outlineLvl w:val="1"/>
        <w:rPr>
          <w:rFonts w:hint="eastAsia" w:ascii="宋体" w:hAnsi="宋体" w:eastAsia="宋体" w:cs="宋体"/>
          <w:b/>
          <w:color w:val="auto"/>
          <w:sz w:val="30"/>
          <w:szCs w:val="30"/>
          <w:highlight w:val="none"/>
        </w:rPr>
      </w:pPr>
      <w:bookmarkStart w:id="24" w:name="_Toc58430330"/>
    </w:p>
    <w:p w14:paraId="605BD4F3">
      <w:pPr>
        <w:widowControl/>
        <w:spacing w:line="400" w:lineRule="exact"/>
        <w:ind w:left="360"/>
        <w:jc w:val="center"/>
        <w:textAlignment w:val="baseline"/>
        <w:outlineLvl w:val="1"/>
        <w:rPr>
          <w:rFonts w:hint="eastAsia" w:ascii="宋体" w:hAnsi="宋体" w:eastAsia="宋体" w:cs="宋体"/>
          <w:b/>
          <w:color w:val="auto"/>
          <w:sz w:val="30"/>
          <w:szCs w:val="30"/>
          <w:highlight w:val="none"/>
        </w:rPr>
      </w:pPr>
    </w:p>
    <w:p w14:paraId="278300AF">
      <w:pPr>
        <w:pStyle w:val="23"/>
        <w:rPr>
          <w:rFonts w:hint="eastAsia" w:ascii="宋体" w:hAnsi="宋体" w:eastAsia="宋体" w:cs="宋体"/>
          <w:color w:val="auto"/>
          <w:highlight w:val="none"/>
        </w:rPr>
      </w:pPr>
    </w:p>
    <w:p w14:paraId="3CB6379B">
      <w:pPr>
        <w:widowControl/>
        <w:spacing w:line="400" w:lineRule="exact"/>
        <w:ind w:left="360"/>
        <w:jc w:val="center"/>
        <w:textAlignment w:val="baseline"/>
        <w:outlineLvl w:val="1"/>
        <w:rPr>
          <w:rFonts w:hint="eastAsia" w:ascii="宋体" w:hAnsi="宋体" w:eastAsia="宋体" w:cs="宋体"/>
          <w:b/>
          <w:color w:val="auto"/>
          <w:sz w:val="30"/>
          <w:szCs w:val="30"/>
          <w:highlight w:val="none"/>
        </w:rPr>
      </w:pPr>
    </w:p>
    <w:p w14:paraId="09F27DEC">
      <w:pPr>
        <w:widowControl/>
        <w:spacing w:line="400" w:lineRule="exact"/>
        <w:ind w:left="360"/>
        <w:jc w:val="center"/>
        <w:textAlignment w:val="baseline"/>
        <w:outlineLvl w:val="1"/>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一</w:t>
      </w:r>
      <w:bookmarkStart w:id="25" w:name="_Toc449028946"/>
      <w:r>
        <w:rPr>
          <w:rFonts w:hint="eastAsia" w:ascii="宋体" w:hAnsi="宋体" w:eastAsia="宋体" w:cs="宋体"/>
          <w:b/>
          <w:color w:val="auto"/>
          <w:sz w:val="30"/>
          <w:szCs w:val="30"/>
          <w:highlight w:val="none"/>
        </w:rPr>
        <w:t>、合同协议书（格式）</w:t>
      </w:r>
      <w:bookmarkEnd w:id="24"/>
      <w:bookmarkEnd w:id="25"/>
    </w:p>
    <w:p w14:paraId="3B6D2E65">
      <w:pPr>
        <w:spacing w:before="120" w:line="480" w:lineRule="auto"/>
        <w:ind w:left="960"/>
        <w:rPr>
          <w:rFonts w:hint="eastAsia" w:ascii="宋体" w:hAnsi="宋体" w:eastAsia="宋体" w:cs="宋体"/>
          <w:color w:val="auto"/>
          <w:sz w:val="24"/>
          <w:highlight w:val="none"/>
        </w:rPr>
      </w:pPr>
    </w:p>
    <w:p w14:paraId="7EAC99CB">
      <w:pPr>
        <w:spacing w:before="120" w:line="480" w:lineRule="auto"/>
        <w:ind w:left="960"/>
        <w:rPr>
          <w:rFonts w:hint="eastAsia" w:ascii="宋体" w:hAnsi="宋体" w:eastAsia="宋体" w:cs="宋体"/>
          <w:color w:val="auto"/>
          <w:sz w:val="24"/>
          <w:highlight w:val="none"/>
        </w:rPr>
      </w:pPr>
    </w:p>
    <w:p w14:paraId="11D4EDA3">
      <w:pPr>
        <w:spacing w:before="120" w:line="480" w:lineRule="auto"/>
        <w:ind w:left="960"/>
        <w:rPr>
          <w:rFonts w:hint="eastAsia" w:ascii="宋体" w:hAnsi="宋体" w:eastAsia="宋体" w:cs="宋体"/>
          <w:color w:val="auto"/>
          <w:sz w:val="24"/>
          <w:highlight w:val="none"/>
        </w:rPr>
      </w:pPr>
    </w:p>
    <w:p w14:paraId="7A49B826">
      <w:pPr>
        <w:spacing w:before="120" w:line="480" w:lineRule="auto"/>
        <w:ind w:left="960"/>
        <w:rPr>
          <w:rFonts w:hint="eastAsia" w:ascii="宋体" w:hAnsi="宋体" w:eastAsia="宋体" w:cs="宋体"/>
          <w:color w:val="auto"/>
          <w:sz w:val="24"/>
          <w:highlight w:val="none"/>
        </w:rPr>
      </w:pPr>
    </w:p>
    <w:p w14:paraId="424EC309">
      <w:pPr>
        <w:spacing w:before="120" w:line="480" w:lineRule="auto"/>
        <w:ind w:left="960"/>
        <w:rPr>
          <w:rFonts w:hint="eastAsia" w:ascii="宋体" w:hAnsi="宋体" w:eastAsia="宋体" w:cs="宋体"/>
          <w:color w:val="auto"/>
          <w:sz w:val="24"/>
          <w:highlight w:val="none"/>
        </w:rPr>
      </w:pPr>
    </w:p>
    <w:p w14:paraId="450A7A3D">
      <w:pPr>
        <w:spacing w:before="120" w:line="480" w:lineRule="auto"/>
        <w:ind w:left="96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项目名称：    </w:t>
      </w:r>
    </w:p>
    <w:p w14:paraId="6E90D58C">
      <w:pPr>
        <w:spacing w:before="120" w:line="480" w:lineRule="auto"/>
        <w:ind w:left="9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甲方（采购人）：</w:t>
      </w:r>
      <w:r>
        <w:rPr>
          <w:rFonts w:hint="eastAsia" w:ascii="宋体" w:hAnsi="宋体" w:eastAsia="宋体" w:cs="宋体"/>
          <w:color w:val="auto"/>
          <w:szCs w:val="21"/>
          <w:highlight w:val="none"/>
          <w:u w:val="single"/>
        </w:rPr>
        <w:t xml:space="preserve">                              </w:t>
      </w:r>
    </w:p>
    <w:p w14:paraId="6D4BAC73">
      <w:pPr>
        <w:spacing w:before="120" w:line="480" w:lineRule="auto"/>
        <w:ind w:left="96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乙方（中标人）：</w:t>
      </w:r>
      <w:r>
        <w:rPr>
          <w:rFonts w:hint="eastAsia" w:ascii="宋体" w:hAnsi="宋体" w:eastAsia="宋体" w:cs="宋体"/>
          <w:color w:val="auto"/>
          <w:szCs w:val="21"/>
          <w:highlight w:val="none"/>
          <w:u w:val="single"/>
        </w:rPr>
        <w:t xml:space="preserve">                              </w:t>
      </w:r>
    </w:p>
    <w:p w14:paraId="64C03DCD">
      <w:pPr>
        <w:spacing w:before="120" w:line="480" w:lineRule="auto"/>
        <w:ind w:firstLine="840" w:firstLineChars="4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签订地：</w:t>
      </w:r>
      <w:r>
        <w:rPr>
          <w:rFonts w:hint="eastAsia" w:ascii="宋体" w:hAnsi="宋体" w:eastAsia="宋体" w:cs="宋体"/>
          <w:color w:val="auto"/>
          <w:szCs w:val="21"/>
          <w:highlight w:val="none"/>
          <w:u w:val="single"/>
        </w:rPr>
        <w:t xml:space="preserve">                                     </w:t>
      </w:r>
    </w:p>
    <w:p w14:paraId="3AC37385">
      <w:pPr>
        <w:spacing w:before="120" w:line="480" w:lineRule="auto"/>
        <w:ind w:firstLine="840" w:firstLineChars="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00428A6E">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226542CF">
      <w:pPr>
        <w:spacing w:line="360" w:lineRule="auto"/>
        <w:ind w:firstLine="435"/>
        <w:rPr>
          <w:rFonts w:hint="eastAsia" w:ascii="宋体" w:hAnsi="宋体" w:eastAsia="宋体" w:cs="宋体"/>
          <w:color w:val="auto"/>
          <w:szCs w:val="21"/>
          <w:highlight w:val="none"/>
        </w:rPr>
      </w:pPr>
      <w:r>
        <w:rPr>
          <w:rFonts w:hint="eastAsia" w:ascii="宋体" w:hAnsi="宋体" w:eastAsia="宋体" w:cs="宋体"/>
          <w:i/>
          <w:iCs/>
          <w:color w:val="auto"/>
          <w:szCs w:val="21"/>
          <w:highlight w:val="none"/>
          <w:u w:val="single"/>
        </w:rPr>
        <w:t>（采购人名称）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以下简称：甲方</w:t>
      </w:r>
      <w:r>
        <w:rPr>
          <w:rFonts w:hint="eastAsia" w:ascii="宋体" w:hAnsi="宋体" w:eastAsia="宋体" w:cs="宋体"/>
          <w:color w:val="auto"/>
          <w:szCs w:val="21"/>
          <w:highlight w:val="none"/>
        </w:rPr>
        <w:t>）通过公开招标，经评标委员会评定，确定</w:t>
      </w:r>
      <w:r>
        <w:rPr>
          <w:rFonts w:hint="eastAsia" w:ascii="宋体" w:hAnsi="宋体" w:eastAsia="宋体" w:cs="宋体"/>
          <w:i/>
          <w:iCs/>
          <w:color w:val="auto"/>
          <w:szCs w:val="21"/>
          <w:highlight w:val="none"/>
          <w:u w:val="single"/>
        </w:rPr>
        <w:t>（中标人名称）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以下简称：乙方</w:t>
      </w:r>
      <w:r>
        <w:rPr>
          <w:rFonts w:hint="eastAsia" w:ascii="宋体" w:hAnsi="宋体" w:eastAsia="宋体" w:cs="宋体"/>
          <w:color w:val="auto"/>
          <w:szCs w:val="21"/>
          <w:highlight w:val="none"/>
        </w:rPr>
        <w:t>）为本项目中标人，现按照采购文件确定的事项签订本合同。</w:t>
      </w:r>
    </w:p>
    <w:p w14:paraId="72E54ECF">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0A8C9AEF">
      <w:pPr>
        <w:spacing w:line="360" w:lineRule="auto"/>
        <w:ind w:firstLine="437"/>
        <w:outlineLvl w:val="3"/>
        <w:rPr>
          <w:rFonts w:hint="eastAsia" w:ascii="宋体" w:hAnsi="宋体" w:eastAsia="宋体" w:cs="宋体"/>
          <w:b/>
          <w:bCs/>
          <w:color w:val="auto"/>
          <w:szCs w:val="21"/>
          <w:highlight w:val="none"/>
          <w:lang w:val="zh-CN"/>
        </w:rPr>
      </w:pPr>
      <w:bookmarkStart w:id="26" w:name="_Toc24059"/>
      <w:bookmarkStart w:id="27" w:name="_Toc2232"/>
      <w:bookmarkStart w:id="28" w:name="_Toc3029"/>
      <w:r>
        <w:rPr>
          <w:rFonts w:hint="eastAsia" w:ascii="宋体" w:hAnsi="宋体" w:eastAsia="宋体" w:cs="宋体"/>
          <w:b/>
          <w:bCs/>
          <w:color w:val="auto"/>
          <w:szCs w:val="21"/>
          <w:highlight w:val="none"/>
          <w:lang w:val="zh-CN"/>
        </w:rPr>
        <w:t>1.1 合同组成部分</w:t>
      </w:r>
      <w:bookmarkEnd w:id="26"/>
      <w:bookmarkEnd w:id="27"/>
      <w:bookmarkEnd w:id="28"/>
    </w:p>
    <w:p w14:paraId="5F907B01">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3C12F517">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1.1.1本合同及其补充合同、变更协议；</w:t>
      </w:r>
    </w:p>
    <w:p w14:paraId="283F242A">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1.1.2中标通知书；</w:t>
      </w:r>
    </w:p>
    <w:p w14:paraId="5DACF385">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1.1.3投标文件（含澄清或者说明文件）；</w:t>
      </w:r>
    </w:p>
    <w:p w14:paraId="6E094E83">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1.1.4招标文件（含澄清或者修改文件）；</w:t>
      </w:r>
    </w:p>
    <w:p w14:paraId="70857106">
      <w:pPr>
        <w:spacing w:line="360" w:lineRule="auto"/>
        <w:ind w:firstLine="435"/>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1.1.5其他相关采购文件。</w:t>
      </w:r>
    </w:p>
    <w:p w14:paraId="6E52323F">
      <w:pPr>
        <w:spacing w:line="360" w:lineRule="auto"/>
        <w:ind w:firstLine="437"/>
        <w:outlineLvl w:val="3"/>
        <w:rPr>
          <w:rFonts w:hint="eastAsia" w:ascii="宋体" w:hAnsi="宋体" w:eastAsia="宋体" w:cs="宋体"/>
          <w:b/>
          <w:bCs/>
          <w:color w:val="auto"/>
          <w:szCs w:val="21"/>
          <w:highlight w:val="none"/>
          <w:lang w:val="zh-CN"/>
        </w:rPr>
      </w:pPr>
      <w:bookmarkStart w:id="29" w:name="_Toc2918"/>
      <w:bookmarkStart w:id="30" w:name="_Toc18585"/>
      <w:bookmarkStart w:id="31" w:name="_Toc6311"/>
      <w:bookmarkStart w:id="32" w:name="_Toc22185"/>
      <w:bookmarkStart w:id="33" w:name="_Toc6773"/>
      <w:r>
        <w:rPr>
          <w:rFonts w:hint="eastAsia" w:ascii="宋体" w:hAnsi="宋体" w:eastAsia="宋体" w:cs="宋体"/>
          <w:b/>
          <w:bCs/>
          <w:color w:val="auto"/>
          <w:szCs w:val="21"/>
          <w:highlight w:val="none"/>
          <w:lang w:val="zh-CN"/>
        </w:rPr>
        <w:t xml:space="preserve">1.2 </w:t>
      </w:r>
      <w:bookmarkEnd w:id="29"/>
      <w:bookmarkEnd w:id="30"/>
      <w:bookmarkEnd w:id="31"/>
      <w:bookmarkEnd w:id="32"/>
      <w:bookmarkEnd w:id="33"/>
      <w:r>
        <w:rPr>
          <w:rFonts w:hint="eastAsia" w:ascii="宋体" w:hAnsi="宋体" w:eastAsia="宋体" w:cs="宋体"/>
          <w:b/>
          <w:bCs/>
          <w:color w:val="auto"/>
          <w:szCs w:val="21"/>
          <w:highlight w:val="none"/>
          <w:lang w:val="zh-CN"/>
        </w:rPr>
        <w:t>服务</w:t>
      </w:r>
    </w:p>
    <w:p w14:paraId="6D150D10">
      <w:pPr>
        <w:spacing w:line="360" w:lineRule="auto"/>
        <w:ind w:firstLine="43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1.2.1服务名称：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47B40EB">
      <w:pPr>
        <w:spacing w:line="360" w:lineRule="auto"/>
        <w:ind w:firstLine="43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1.2.2服务内容：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7F6DE52">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1.2.3服务质量：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A57A4C0">
      <w:pPr>
        <w:spacing w:line="360" w:lineRule="auto"/>
        <w:ind w:firstLine="437"/>
        <w:outlineLvl w:val="3"/>
        <w:rPr>
          <w:rFonts w:hint="eastAsia" w:ascii="宋体" w:hAnsi="宋体" w:eastAsia="宋体" w:cs="宋体"/>
          <w:b/>
          <w:bCs/>
          <w:color w:val="auto"/>
          <w:szCs w:val="21"/>
          <w:highlight w:val="none"/>
          <w:lang w:val="zh-CN"/>
        </w:rPr>
      </w:pPr>
      <w:bookmarkStart w:id="34" w:name="_Toc23292"/>
      <w:bookmarkStart w:id="35" w:name="_Toc21631"/>
      <w:bookmarkStart w:id="36" w:name="_Toc21551"/>
      <w:r>
        <w:rPr>
          <w:rFonts w:hint="eastAsia" w:ascii="宋体" w:hAnsi="宋体" w:eastAsia="宋体" w:cs="宋体"/>
          <w:b/>
          <w:bCs/>
          <w:color w:val="auto"/>
          <w:szCs w:val="21"/>
          <w:highlight w:val="none"/>
          <w:lang w:val="zh-CN"/>
        </w:rPr>
        <w:t>1.3 价款</w:t>
      </w:r>
      <w:bookmarkEnd w:id="34"/>
      <w:bookmarkEnd w:id="35"/>
      <w:bookmarkEnd w:id="36"/>
    </w:p>
    <w:p w14:paraId="69652714">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本合同总价为：¥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元（大写：人民币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p>
    <w:p w14:paraId="6F0ABCDB">
      <w:pPr>
        <w:spacing w:line="360" w:lineRule="auto"/>
        <w:ind w:firstLine="43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分项价格：</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313"/>
        <w:gridCol w:w="12"/>
        <w:gridCol w:w="3229"/>
        <w:gridCol w:w="12"/>
      </w:tblGrid>
      <w:tr w14:paraId="24EE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56" w:type="dxa"/>
            <w:noWrap w:val="0"/>
            <w:vAlign w:val="center"/>
          </w:tcPr>
          <w:p w14:paraId="0304974D">
            <w:pPr>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序号</w:t>
            </w:r>
          </w:p>
        </w:tc>
        <w:tc>
          <w:tcPr>
            <w:tcW w:w="4317" w:type="dxa"/>
            <w:noWrap w:val="0"/>
            <w:vAlign w:val="center"/>
          </w:tcPr>
          <w:p w14:paraId="4E9F49FF">
            <w:pPr>
              <w:ind w:firstLine="2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分项名称</w:t>
            </w:r>
          </w:p>
        </w:tc>
        <w:tc>
          <w:tcPr>
            <w:tcW w:w="3237" w:type="dxa"/>
            <w:gridSpan w:val="2"/>
            <w:noWrap w:val="0"/>
            <w:vAlign w:val="center"/>
          </w:tcPr>
          <w:p w14:paraId="0029D1D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分项价格</w:t>
            </w:r>
          </w:p>
        </w:tc>
      </w:tr>
      <w:tr w14:paraId="1717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56" w:type="dxa"/>
            <w:noWrap w:val="0"/>
            <w:vAlign w:val="top"/>
          </w:tcPr>
          <w:p w14:paraId="2C350C95">
            <w:pPr>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p>
        </w:tc>
        <w:tc>
          <w:tcPr>
            <w:tcW w:w="4317" w:type="dxa"/>
            <w:noWrap w:val="0"/>
            <w:vAlign w:val="center"/>
          </w:tcPr>
          <w:p w14:paraId="0772C7DD">
            <w:pPr>
              <w:ind w:firstLine="200"/>
              <w:jc w:val="center"/>
              <w:rPr>
                <w:rFonts w:hint="eastAsia" w:ascii="宋体" w:hAnsi="宋体" w:eastAsia="宋体" w:cs="宋体"/>
                <w:color w:val="auto"/>
                <w:szCs w:val="21"/>
                <w:highlight w:val="none"/>
              </w:rPr>
            </w:pPr>
          </w:p>
        </w:tc>
        <w:tc>
          <w:tcPr>
            <w:tcW w:w="3237" w:type="dxa"/>
            <w:gridSpan w:val="2"/>
            <w:noWrap w:val="0"/>
            <w:vAlign w:val="center"/>
          </w:tcPr>
          <w:p w14:paraId="1CCBE176">
            <w:pPr>
              <w:ind w:firstLine="200"/>
              <w:jc w:val="center"/>
              <w:rPr>
                <w:rFonts w:hint="eastAsia" w:ascii="宋体" w:hAnsi="宋体" w:eastAsia="宋体" w:cs="宋体"/>
                <w:color w:val="auto"/>
                <w:szCs w:val="21"/>
                <w:highlight w:val="none"/>
              </w:rPr>
            </w:pPr>
          </w:p>
        </w:tc>
      </w:tr>
      <w:tr w14:paraId="2E50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56" w:type="dxa"/>
            <w:noWrap w:val="0"/>
            <w:vAlign w:val="top"/>
          </w:tcPr>
          <w:p w14:paraId="386AF96B">
            <w:pPr>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p>
        </w:tc>
        <w:tc>
          <w:tcPr>
            <w:tcW w:w="4317" w:type="dxa"/>
            <w:noWrap w:val="0"/>
            <w:vAlign w:val="center"/>
          </w:tcPr>
          <w:p w14:paraId="713472FB">
            <w:pPr>
              <w:ind w:firstLine="200"/>
              <w:jc w:val="center"/>
              <w:rPr>
                <w:rFonts w:hint="eastAsia" w:ascii="宋体" w:hAnsi="宋体" w:eastAsia="宋体" w:cs="宋体"/>
                <w:color w:val="auto"/>
                <w:szCs w:val="21"/>
                <w:highlight w:val="none"/>
              </w:rPr>
            </w:pPr>
          </w:p>
        </w:tc>
        <w:tc>
          <w:tcPr>
            <w:tcW w:w="3237" w:type="dxa"/>
            <w:gridSpan w:val="2"/>
            <w:noWrap w:val="0"/>
            <w:vAlign w:val="center"/>
          </w:tcPr>
          <w:p w14:paraId="2F50A4BF">
            <w:pPr>
              <w:ind w:firstLine="200"/>
              <w:jc w:val="center"/>
              <w:rPr>
                <w:rFonts w:hint="eastAsia" w:ascii="宋体" w:hAnsi="宋体" w:eastAsia="宋体" w:cs="宋体"/>
                <w:color w:val="auto"/>
                <w:szCs w:val="21"/>
                <w:highlight w:val="none"/>
              </w:rPr>
            </w:pPr>
          </w:p>
        </w:tc>
      </w:tr>
      <w:tr w14:paraId="797D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56" w:type="dxa"/>
            <w:noWrap w:val="0"/>
            <w:vAlign w:val="top"/>
          </w:tcPr>
          <w:p w14:paraId="25C1EBD7">
            <w:pPr>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w:t>
            </w:r>
          </w:p>
        </w:tc>
        <w:tc>
          <w:tcPr>
            <w:tcW w:w="4317" w:type="dxa"/>
            <w:noWrap w:val="0"/>
            <w:vAlign w:val="center"/>
          </w:tcPr>
          <w:p w14:paraId="69DF56C2">
            <w:pPr>
              <w:ind w:firstLine="200"/>
              <w:jc w:val="center"/>
              <w:rPr>
                <w:rFonts w:hint="eastAsia" w:ascii="宋体" w:hAnsi="宋体" w:eastAsia="宋体" w:cs="宋体"/>
                <w:color w:val="auto"/>
                <w:szCs w:val="21"/>
                <w:highlight w:val="none"/>
              </w:rPr>
            </w:pPr>
          </w:p>
        </w:tc>
        <w:tc>
          <w:tcPr>
            <w:tcW w:w="3237" w:type="dxa"/>
            <w:gridSpan w:val="2"/>
            <w:noWrap w:val="0"/>
            <w:vAlign w:val="center"/>
          </w:tcPr>
          <w:p w14:paraId="51476C77">
            <w:pPr>
              <w:ind w:firstLine="200"/>
              <w:jc w:val="center"/>
              <w:rPr>
                <w:rFonts w:hint="eastAsia" w:ascii="宋体" w:hAnsi="宋体" w:eastAsia="宋体" w:cs="宋体"/>
                <w:color w:val="auto"/>
                <w:szCs w:val="21"/>
                <w:highlight w:val="none"/>
              </w:rPr>
            </w:pPr>
          </w:p>
        </w:tc>
      </w:tr>
      <w:tr w14:paraId="0110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956" w:type="dxa"/>
            <w:noWrap w:val="0"/>
            <w:vAlign w:val="top"/>
          </w:tcPr>
          <w:p w14:paraId="34AD7F77">
            <w:pPr>
              <w:jc w:val="cente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w:t>
            </w:r>
          </w:p>
        </w:tc>
        <w:tc>
          <w:tcPr>
            <w:tcW w:w="4317" w:type="dxa"/>
            <w:noWrap w:val="0"/>
            <w:vAlign w:val="center"/>
          </w:tcPr>
          <w:p w14:paraId="0CD033E4">
            <w:pPr>
              <w:ind w:firstLine="200"/>
              <w:jc w:val="center"/>
              <w:rPr>
                <w:rFonts w:hint="eastAsia" w:ascii="宋体" w:hAnsi="宋体" w:eastAsia="宋体" w:cs="宋体"/>
                <w:color w:val="auto"/>
                <w:szCs w:val="21"/>
                <w:highlight w:val="none"/>
              </w:rPr>
            </w:pPr>
          </w:p>
        </w:tc>
        <w:tc>
          <w:tcPr>
            <w:tcW w:w="3237" w:type="dxa"/>
            <w:gridSpan w:val="2"/>
            <w:noWrap w:val="0"/>
            <w:vAlign w:val="center"/>
          </w:tcPr>
          <w:p w14:paraId="0BC5569B">
            <w:pPr>
              <w:ind w:firstLine="200"/>
              <w:jc w:val="center"/>
              <w:rPr>
                <w:rFonts w:hint="eastAsia" w:ascii="宋体" w:hAnsi="宋体" w:eastAsia="宋体" w:cs="宋体"/>
                <w:color w:val="auto"/>
                <w:szCs w:val="21"/>
                <w:highlight w:val="none"/>
              </w:rPr>
            </w:pPr>
          </w:p>
        </w:tc>
      </w:tr>
      <w:tr w14:paraId="0612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noWrap w:val="0"/>
            <w:vAlign w:val="center"/>
          </w:tcPr>
          <w:p w14:paraId="01509CD5">
            <w:pPr>
              <w:ind w:firstLine="20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总价</w:t>
            </w:r>
          </w:p>
        </w:tc>
        <w:tc>
          <w:tcPr>
            <w:tcW w:w="3237" w:type="dxa"/>
            <w:gridSpan w:val="2"/>
            <w:noWrap w:val="0"/>
            <w:vAlign w:val="center"/>
          </w:tcPr>
          <w:p w14:paraId="54273F37">
            <w:pPr>
              <w:ind w:firstLine="200"/>
              <w:jc w:val="center"/>
              <w:rPr>
                <w:rFonts w:hint="eastAsia" w:ascii="宋体" w:hAnsi="宋体" w:eastAsia="宋体" w:cs="宋体"/>
                <w:color w:val="auto"/>
                <w:szCs w:val="21"/>
                <w:highlight w:val="none"/>
              </w:rPr>
            </w:pPr>
          </w:p>
        </w:tc>
      </w:tr>
    </w:tbl>
    <w:p w14:paraId="40506F97">
      <w:pPr>
        <w:spacing w:line="360" w:lineRule="auto"/>
        <w:ind w:firstLine="437"/>
        <w:outlineLvl w:val="3"/>
        <w:rPr>
          <w:rFonts w:hint="eastAsia" w:ascii="宋体" w:hAnsi="宋体" w:eastAsia="宋体" w:cs="宋体"/>
          <w:b/>
          <w:bCs/>
          <w:color w:val="auto"/>
          <w:szCs w:val="21"/>
          <w:highlight w:val="none"/>
          <w:lang w:val="zh-CN"/>
        </w:rPr>
      </w:pPr>
      <w:bookmarkStart w:id="37" w:name="_Toc10340"/>
      <w:bookmarkStart w:id="38" w:name="_Toc22618"/>
      <w:bookmarkStart w:id="39" w:name="_Toc1814"/>
      <w:r>
        <w:rPr>
          <w:rFonts w:hint="eastAsia" w:ascii="宋体" w:hAnsi="宋体" w:eastAsia="宋体" w:cs="宋体"/>
          <w:b/>
          <w:bCs/>
          <w:color w:val="auto"/>
          <w:szCs w:val="21"/>
          <w:highlight w:val="none"/>
          <w:lang w:val="zh-CN"/>
        </w:rPr>
        <w:t>1.4 付款方式和发票开具方式</w:t>
      </w:r>
      <w:bookmarkEnd w:id="37"/>
      <w:bookmarkEnd w:id="38"/>
      <w:bookmarkEnd w:id="39"/>
    </w:p>
    <w:p w14:paraId="573430E7">
      <w:pPr>
        <w:pStyle w:val="63"/>
        <w:spacing w:before="0" w:beforeAutospacing="0" w:after="0" w:afterAutospacing="0" w:line="580" w:lineRule="exact"/>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1.4.1付款方式：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392C879">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1.4.2发票开具方式：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3325EF3">
      <w:pPr>
        <w:spacing w:line="360" w:lineRule="auto"/>
        <w:ind w:firstLine="437"/>
        <w:outlineLvl w:val="3"/>
        <w:rPr>
          <w:rFonts w:hint="eastAsia" w:ascii="宋体" w:hAnsi="宋体" w:eastAsia="宋体" w:cs="宋体"/>
          <w:b/>
          <w:bCs/>
          <w:color w:val="auto"/>
          <w:szCs w:val="21"/>
          <w:highlight w:val="none"/>
          <w:lang w:val="zh-CN"/>
        </w:rPr>
      </w:pPr>
      <w:bookmarkStart w:id="40" w:name="_Toc2846"/>
      <w:bookmarkStart w:id="41" w:name="_Toc19304"/>
      <w:bookmarkStart w:id="42" w:name="_Toc32071"/>
      <w:r>
        <w:rPr>
          <w:rFonts w:hint="eastAsia" w:ascii="宋体" w:hAnsi="宋体" w:eastAsia="宋体" w:cs="宋体"/>
          <w:b/>
          <w:bCs/>
          <w:color w:val="auto"/>
          <w:szCs w:val="21"/>
          <w:highlight w:val="none"/>
          <w:lang w:val="zh-CN"/>
        </w:rPr>
        <w:t>1.5 服务期限、地点和方式</w:t>
      </w:r>
      <w:bookmarkEnd w:id="40"/>
      <w:bookmarkEnd w:id="41"/>
      <w:bookmarkEnd w:id="42"/>
    </w:p>
    <w:p w14:paraId="084B9214">
      <w:pPr>
        <w:spacing w:line="360" w:lineRule="auto"/>
        <w:ind w:firstLine="43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1.5.1服务期限：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094DE8F">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1.5.2服务地点：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F3B25F5">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1.5.3服务方式：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642C544">
      <w:pPr>
        <w:spacing w:line="360" w:lineRule="auto"/>
        <w:ind w:firstLine="437"/>
        <w:outlineLvl w:val="3"/>
        <w:rPr>
          <w:rFonts w:hint="eastAsia" w:ascii="宋体" w:hAnsi="宋体" w:eastAsia="宋体" w:cs="宋体"/>
          <w:b/>
          <w:bCs/>
          <w:color w:val="auto"/>
          <w:szCs w:val="21"/>
          <w:highlight w:val="none"/>
          <w:lang w:val="zh-CN"/>
        </w:rPr>
      </w:pPr>
      <w:bookmarkStart w:id="43" w:name="_Toc19554"/>
      <w:bookmarkStart w:id="44" w:name="_Toc27250"/>
      <w:bookmarkStart w:id="45" w:name="_Toc21423"/>
      <w:r>
        <w:rPr>
          <w:rFonts w:hint="eastAsia" w:ascii="宋体" w:hAnsi="宋体" w:eastAsia="宋体" w:cs="宋体"/>
          <w:b/>
          <w:bCs/>
          <w:color w:val="auto"/>
          <w:szCs w:val="21"/>
          <w:highlight w:val="none"/>
          <w:lang w:val="zh-CN"/>
        </w:rPr>
        <w:t>1.6 违约责任</w:t>
      </w:r>
      <w:bookmarkEnd w:id="43"/>
      <w:bookmarkEnd w:id="44"/>
      <w:bookmarkEnd w:id="45"/>
    </w:p>
    <w:p w14:paraId="6B9420BB">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1.6.1除不可抗力外，如果乙方没有按照本合同约定的期限、地点和方式履行，那么甲方可要求乙方支付违约金，违约金按每迟延履行一日以合同总价的</w:t>
      </w:r>
      <w:r>
        <w:rPr>
          <w:rFonts w:hint="eastAsia" w:ascii="宋体" w:hAnsi="宋体" w:eastAsia="宋体" w:cs="宋体"/>
          <w:color w:val="auto"/>
          <w:szCs w:val="21"/>
          <w:highlight w:val="none"/>
          <w:u w:val="single"/>
        </w:rPr>
        <w:t xml:space="preserve"> 1 </w:t>
      </w:r>
      <w:r>
        <w:rPr>
          <w:rFonts w:hint="eastAsia" w:ascii="宋体" w:hAnsi="宋体" w:eastAsia="宋体" w:cs="宋体"/>
          <w:color w:val="auto"/>
          <w:szCs w:val="21"/>
          <w:highlight w:val="none"/>
        </w:rPr>
        <w:t>%计算，最高限额为本合同总价的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%；迟延履行的违约金计算数额达到前述最高限额之日起，甲方有权在要求乙方支付违约金的同时，书面通知乙方解除本合同；</w:t>
      </w:r>
    </w:p>
    <w:p w14:paraId="6DC6E77C">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Cs w:val="21"/>
          <w:highlight w:val="none"/>
          <w:u w:val="single"/>
        </w:rPr>
        <w:t xml:space="preserve"> 1</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%计算，最高限额为本合同总价的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0</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%；迟延付款的违约金计算数额达到前述最高限额之日起，乙方有权在要求甲方支付违约金的同时，书面通知甲方解除本合同；</w:t>
      </w:r>
    </w:p>
    <w:p w14:paraId="19ADF896">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91EF2FD">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529B7E6">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22391920">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381D7366">
      <w:pPr>
        <w:spacing w:line="360" w:lineRule="auto"/>
        <w:ind w:firstLine="437"/>
        <w:outlineLvl w:val="3"/>
        <w:rPr>
          <w:rFonts w:hint="eastAsia" w:ascii="宋体" w:hAnsi="宋体" w:eastAsia="宋体" w:cs="宋体"/>
          <w:b/>
          <w:bCs/>
          <w:color w:val="auto"/>
          <w:szCs w:val="21"/>
          <w:highlight w:val="none"/>
          <w:lang w:val="zh-CN"/>
        </w:rPr>
      </w:pPr>
      <w:bookmarkStart w:id="46" w:name="_Toc16021"/>
      <w:bookmarkStart w:id="47" w:name="_Toc15583"/>
      <w:bookmarkStart w:id="48" w:name="_Toc28375"/>
      <w:r>
        <w:rPr>
          <w:rFonts w:hint="eastAsia" w:ascii="宋体" w:hAnsi="宋体" w:eastAsia="宋体" w:cs="宋体"/>
          <w:b/>
          <w:bCs/>
          <w:color w:val="auto"/>
          <w:szCs w:val="21"/>
          <w:highlight w:val="none"/>
          <w:lang w:val="zh-CN"/>
        </w:rPr>
        <w:t>1.7 合同争议的解决</w:t>
      </w:r>
      <w:bookmarkEnd w:id="46"/>
      <w:bookmarkEnd w:id="47"/>
      <w:bookmarkEnd w:id="48"/>
    </w:p>
    <w:p w14:paraId="0050B0CC">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zCs w:val="21"/>
          <w:highlight w:val="none"/>
          <w:u w:val="single"/>
        </w:rPr>
        <w:t xml:space="preserve"> 1.7.2 </w:t>
      </w:r>
      <w:r>
        <w:rPr>
          <w:rFonts w:hint="eastAsia" w:ascii="宋体" w:hAnsi="宋体" w:eastAsia="宋体" w:cs="宋体"/>
          <w:color w:val="auto"/>
          <w:szCs w:val="21"/>
          <w:highlight w:val="none"/>
        </w:rPr>
        <w:t>种方式解决：</w:t>
      </w:r>
    </w:p>
    <w:p w14:paraId="08F54646">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1.7.1将争议提交滁州仲裁委员会依申请仲裁时其现行有效的仲裁规则裁决；</w:t>
      </w:r>
    </w:p>
    <w:p w14:paraId="32A06450">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1.7.2向甲方（采购人）</w:t>
      </w:r>
      <w:r>
        <w:rPr>
          <w:rFonts w:hint="eastAsia" w:ascii="宋体" w:hAnsi="宋体" w:eastAsia="宋体" w:cs="宋体"/>
          <w:color w:val="auto"/>
          <w:szCs w:val="21"/>
          <w:highlight w:val="none"/>
          <w:u w:val="none" w:color="000000"/>
        </w:rPr>
        <w:t>所在地</w:t>
      </w:r>
      <w:r>
        <w:rPr>
          <w:rFonts w:hint="eastAsia" w:ascii="宋体" w:hAnsi="宋体" w:eastAsia="宋体" w:cs="宋体"/>
          <w:color w:val="auto"/>
          <w:szCs w:val="21"/>
          <w:highlight w:val="none"/>
        </w:rPr>
        <w:t>人民法院起诉。</w:t>
      </w:r>
    </w:p>
    <w:p w14:paraId="68D42729">
      <w:pPr>
        <w:spacing w:line="360" w:lineRule="auto"/>
        <w:ind w:firstLine="437"/>
        <w:outlineLvl w:val="3"/>
        <w:rPr>
          <w:rFonts w:hint="eastAsia" w:ascii="宋体" w:hAnsi="宋体" w:eastAsia="宋体" w:cs="宋体"/>
          <w:b/>
          <w:bCs/>
          <w:color w:val="auto"/>
          <w:szCs w:val="21"/>
          <w:highlight w:val="none"/>
          <w:lang w:val="zh-CN"/>
        </w:rPr>
      </w:pPr>
      <w:bookmarkStart w:id="49" w:name="_Toc11173"/>
      <w:bookmarkStart w:id="50" w:name="_Toc15322"/>
      <w:bookmarkStart w:id="51" w:name="_Toc7245"/>
      <w:r>
        <w:rPr>
          <w:rFonts w:hint="eastAsia" w:ascii="宋体" w:hAnsi="宋体" w:eastAsia="宋体" w:cs="宋体"/>
          <w:b/>
          <w:bCs/>
          <w:color w:val="auto"/>
          <w:szCs w:val="21"/>
          <w:highlight w:val="none"/>
          <w:lang w:val="zh-CN"/>
        </w:rPr>
        <w:t>1.8 合同生效</w:t>
      </w:r>
      <w:bookmarkEnd w:id="49"/>
      <w:bookmarkEnd w:id="50"/>
      <w:bookmarkEnd w:id="51"/>
    </w:p>
    <w:p w14:paraId="1568EBB5">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本合同自双方当事人盖章时生效。</w:t>
      </w:r>
    </w:p>
    <w:p w14:paraId="30BF873F">
      <w:pPr>
        <w:autoSpaceDE w:val="0"/>
        <w:autoSpaceDN w:val="0"/>
        <w:adjustRightInd w:val="0"/>
        <w:spacing w:line="560" w:lineRule="exact"/>
        <w:rPr>
          <w:rFonts w:hint="eastAsia" w:ascii="宋体" w:hAnsi="宋体" w:eastAsia="宋体" w:cs="宋体"/>
          <w:color w:val="auto"/>
          <w:szCs w:val="21"/>
          <w:highlight w:val="none"/>
          <w:lang w:val="zh-CN"/>
        </w:rPr>
      </w:pPr>
    </w:p>
    <w:p w14:paraId="42251989">
      <w:pPr>
        <w:autoSpaceDE w:val="0"/>
        <w:autoSpaceDN w:val="0"/>
        <w:adjustRightInd w:val="0"/>
        <w:spacing w:line="560" w:lineRule="exact"/>
        <w:rPr>
          <w:rFonts w:hint="eastAsia" w:ascii="宋体" w:hAnsi="宋体" w:eastAsia="宋体" w:cs="宋体"/>
          <w:color w:val="auto"/>
          <w:szCs w:val="21"/>
          <w:highlight w:val="none"/>
          <w:lang w:val="zh-CN"/>
        </w:rPr>
      </w:pPr>
    </w:p>
    <w:p w14:paraId="41B4A9F1">
      <w:pPr>
        <w:autoSpaceDE w:val="0"/>
        <w:autoSpaceDN w:val="0"/>
        <w:adjustRightInd w:val="0"/>
        <w:spacing w:line="560" w:lineRule="exact"/>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甲    方：</w:t>
      </w:r>
      <w:r>
        <w:rPr>
          <w:rFonts w:hint="eastAsia" w:ascii="宋体" w:hAnsi="宋体" w:eastAsia="宋体" w:cs="宋体"/>
          <w:bCs/>
          <w:color w:val="auto"/>
          <w:szCs w:val="21"/>
          <w:highlight w:val="none"/>
          <w:u w:val="single"/>
          <w:lang w:val="zh-CN"/>
        </w:rPr>
        <w:t xml:space="preserve">    （单位盖章）     </w:t>
      </w:r>
      <w:r>
        <w:rPr>
          <w:rFonts w:hint="eastAsia" w:ascii="宋体" w:hAnsi="宋体" w:eastAsia="宋体" w:cs="宋体"/>
          <w:bCs/>
          <w:color w:val="auto"/>
          <w:szCs w:val="21"/>
          <w:highlight w:val="none"/>
          <w:lang w:val="zh-CN"/>
        </w:rPr>
        <w:t xml:space="preserve">          乙</w:t>
      </w:r>
      <w:r>
        <w:rPr>
          <w:rFonts w:hint="eastAsia" w:ascii="宋体" w:hAnsi="宋体" w:eastAsia="宋体" w:cs="宋体"/>
          <w:bCs/>
          <w:color w:val="auto"/>
          <w:szCs w:val="21"/>
          <w:highlight w:val="none"/>
        </w:rPr>
        <w:t xml:space="preserve">    </w:t>
      </w:r>
      <w:r>
        <w:rPr>
          <w:rFonts w:hint="eastAsia" w:ascii="宋体" w:hAnsi="宋体" w:eastAsia="宋体" w:cs="宋体"/>
          <w:bCs/>
          <w:color w:val="auto"/>
          <w:szCs w:val="21"/>
          <w:highlight w:val="none"/>
          <w:lang w:val="zh-CN"/>
        </w:rPr>
        <w:t>方：</w:t>
      </w:r>
      <w:r>
        <w:rPr>
          <w:rFonts w:hint="eastAsia" w:ascii="宋体" w:hAnsi="宋体" w:eastAsia="宋体" w:cs="宋体"/>
          <w:bCs/>
          <w:color w:val="auto"/>
          <w:szCs w:val="21"/>
          <w:highlight w:val="none"/>
          <w:u w:val="single"/>
          <w:lang w:val="zh-CN"/>
        </w:rPr>
        <w:t xml:space="preserve">    （单位盖章）     </w:t>
      </w:r>
    </w:p>
    <w:p w14:paraId="69FBC19A">
      <w:pPr>
        <w:autoSpaceDE w:val="0"/>
        <w:autoSpaceDN w:val="0"/>
        <w:adjustRightInd w:val="0"/>
        <w:spacing w:line="56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法定代表人                               法定代表人</w:t>
      </w:r>
    </w:p>
    <w:p w14:paraId="57CA4113">
      <w:pPr>
        <w:autoSpaceDE w:val="0"/>
        <w:autoSpaceDN w:val="0"/>
        <w:adjustRightInd w:val="0"/>
        <w:spacing w:line="560" w:lineRule="exac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或授权代表（签字）：                     或授权代表（签字）：</w:t>
      </w:r>
    </w:p>
    <w:p w14:paraId="606EE4F6">
      <w:pPr>
        <w:widowControl/>
        <w:spacing w:line="560" w:lineRule="exact"/>
        <w:jc w:val="left"/>
        <w:rPr>
          <w:rFonts w:hint="eastAsia" w:ascii="宋体" w:hAnsi="宋体" w:eastAsia="宋体" w:cs="宋体"/>
          <w:bCs/>
          <w:color w:val="auto"/>
          <w:szCs w:val="21"/>
          <w:highlight w:val="none"/>
        </w:rPr>
      </w:pPr>
      <w:bookmarkStart w:id="52" w:name="_Toc331685783"/>
      <w:r>
        <w:rPr>
          <w:rFonts w:hint="eastAsia" w:ascii="宋体" w:hAnsi="宋体" w:eastAsia="宋体" w:cs="宋体"/>
          <w:bCs/>
          <w:color w:val="auto"/>
          <w:szCs w:val="21"/>
          <w:highlight w:val="none"/>
        </w:rPr>
        <w:t>时间：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               时间：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w:t>
      </w:r>
    </w:p>
    <w:p w14:paraId="74429669">
      <w:pPr>
        <w:widowControl/>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br w:type="page"/>
      </w:r>
    </w:p>
    <w:p w14:paraId="14DC946A">
      <w:pPr>
        <w:spacing w:line="360" w:lineRule="auto"/>
        <w:jc w:val="center"/>
        <w:outlineLvl w:val="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第二部分 合同一般条款</w:t>
      </w:r>
      <w:bookmarkEnd w:id="52"/>
    </w:p>
    <w:p w14:paraId="6B1F8103">
      <w:pPr>
        <w:spacing w:line="360" w:lineRule="auto"/>
        <w:ind w:firstLine="437"/>
        <w:outlineLvl w:val="3"/>
        <w:rPr>
          <w:rFonts w:hint="eastAsia" w:ascii="宋体" w:hAnsi="宋体" w:eastAsia="宋体" w:cs="宋体"/>
          <w:b/>
          <w:bCs/>
          <w:color w:val="auto"/>
          <w:szCs w:val="21"/>
          <w:highlight w:val="none"/>
          <w:lang w:val="zh-CN"/>
        </w:rPr>
      </w:pPr>
      <w:bookmarkStart w:id="53" w:name="_Ref467379195"/>
      <w:bookmarkStart w:id="54" w:name="_Toc16917"/>
      <w:bookmarkStart w:id="55" w:name="_Ref467379205"/>
      <w:bookmarkStart w:id="56" w:name="_Toc487900349"/>
      <w:bookmarkStart w:id="57" w:name="_Ref467379094"/>
      <w:bookmarkStart w:id="58" w:name="_Ref467378463"/>
      <w:bookmarkStart w:id="59" w:name="_Ref467379225"/>
      <w:bookmarkStart w:id="60" w:name="_Toc259093669"/>
      <w:bookmarkStart w:id="61" w:name="_Ref467378404"/>
      <w:bookmarkStart w:id="62" w:name="_Ref467378499"/>
      <w:bookmarkStart w:id="63" w:name="_Ref467379109"/>
      <w:bookmarkStart w:id="64" w:name="_Toc28763"/>
      <w:bookmarkStart w:id="65" w:name="_Toc279701240"/>
      <w:bookmarkStart w:id="66" w:name="_Toc19614"/>
      <w:bookmarkStart w:id="67" w:name="_Ref467379101"/>
      <w:bookmarkStart w:id="68" w:name="_Ref467379214"/>
      <w:r>
        <w:rPr>
          <w:rFonts w:hint="eastAsia" w:ascii="宋体" w:hAnsi="宋体" w:eastAsia="宋体" w:cs="宋体"/>
          <w:b/>
          <w:bCs/>
          <w:color w:val="auto"/>
          <w:szCs w:val="21"/>
          <w:highlight w:val="none"/>
          <w:lang w:val="zh-CN"/>
        </w:rPr>
        <w:t>2.1 定义</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60101C07">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本合同中的下列词语应按以下内容进行解释：</w:t>
      </w:r>
    </w:p>
    <w:p w14:paraId="21A3A7C2">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2.1.1“合同”系指采购人和中标人签订的载明双方当事人所达成的协议，并包括所有的附件、附录和构成合同的其他文件。</w:t>
      </w:r>
    </w:p>
    <w:p w14:paraId="1FC0FB61">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2.1.2“合同价”系指根据合同约定，中标人在完全履行合同义务后，采购人应支付给中标人的价格。</w:t>
      </w:r>
    </w:p>
    <w:p w14:paraId="314384EC">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2.1.3“服务”系指中标人根据合同约定应向采购人履行的除货物和工程以外的其他政府采购对象，包括采购人自身需要的服务和向社会公众提供的公共服务。</w:t>
      </w:r>
    </w:p>
    <w:p w14:paraId="6A3D5EF9">
      <w:pPr>
        <w:spacing w:line="360" w:lineRule="auto"/>
        <w:ind w:firstLine="435"/>
        <w:rPr>
          <w:rFonts w:hint="eastAsia" w:ascii="宋体" w:hAnsi="宋体" w:eastAsia="宋体" w:cs="宋体"/>
          <w:color w:val="auto"/>
          <w:szCs w:val="21"/>
          <w:highlight w:val="none"/>
        </w:rPr>
      </w:pPr>
      <w:bookmarkStart w:id="69" w:name="_Ref467378840"/>
      <w:r>
        <w:rPr>
          <w:rFonts w:hint="eastAsia" w:ascii="宋体" w:hAnsi="宋体" w:eastAsia="宋体" w:cs="宋体"/>
          <w:color w:val="auto"/>
          <w:szCs w:val="21"/>
          <w:highlight w:val="none"/>
        </w:rPr>
        <w:t>2.1.4“甲方”系指与中标人签署合同的采购人</w:t>
      </w:r>
      <w:bookmarkEnd w:id="69"/>
      <w:r>
        <w:rPr>
          <w:rFonts w:hint="eastAsia" w:ascii="宋体" w:hAnsi="宋体" w:eastAsia="宋体" w:cs="宋体"/>
          <w:color w:val="auto"/>
          <w:szCs w:val="21"/>
          <w:highlight w:val="none"/>
        </w:rPr>
        <w:t>；采购人委托采购代理机构代表其与乙方签订合同的，采购人的授权委托书作为合同附件。</w:t>
      </w:r>
    </w:p>
    <w:p w14:paraId="0461E68E">
      <w:pPr>
        <w:spacing w:line="360" w:lineRule="auto"/>
        <w:ind w:firstLine="435"/>
        <w:rPr>
          <w:rFonts w:hint="eastAsia" w:ascii="宋体" w:hAnsi="宋体" w:eastAsia="宋体" w:cs="宋体"/>
          <w:color w:val="auto"/>
          <w:szCs w:val="21"/>
          <w:highlight w:val="none"/>
        </w:rPr>
      </w:pPr>
      <w:bookmarkStart w:id="70" w:name="_Ref467379400"/>
      <w:r>
        <w:rPr>
          <w:rFonts w:hint="eastAsia" w:ascii="宋体" w:hAnsi="宋体" w:eastAsia="宋体" w:cs="宋体"/>
          <w:color w:val="auto"/>
          <w:szCs w:val="21"/>
          <w:highlight w:val="none"/>
        </w:rPr>
        <w:t>2.1.5“乙方”系指根据合同约定提供服务的中标人</w:t>
      </w:r>
      <w:bookmarkEnd w:id="70"/>
      <w:r>
        <w:rPr>
          <w:rFonts w:hint="eastAsia" w:ascii="宋体" w:hAnsi="宋体" w:eastAsia="宋体" w:cs="宋体"/>
          <w:color w:val="auto"/>
          <w:szCs w:val="21"/>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79ACDFD">
      <w:pPr>
        <w:spacing w:line="360" w:lineRule="auto"/>
        <w:ind w:firstLine="435"/>
        <w:rPr>
          <w:rFonts w:hint="eastAsia" w:ascii="宋体" w:hAnsi="宋体" w:eastAsia="宋体" w:cs="宋体"/>
          <w:color w:val="auto"/>
          <w:szCs w:val="21"/>
          <w:highlight w:val="none"/>
        </w:rPr>
      </w:pPr>
      <w:bookmarkStart w:id="71" w:name="_Ref467379436"/>
      <w:r>
        <w:rPr>
          <w:rFonts w:hint="eastAsia" w:ascii="宋体" w:hAnsi="宋体" w:eastAsia="宋体" w:cs="宋体"/>
          <w:color w:val="auto"/>
          <w:szCs w:val="21"/>
          <w:highlight w:val="none"/>
        </w:rPr>
        <w:t>2.1.6“现场”系指合同约定提供服务的地点。</w:t>
      </w:r>
      <w:bookmarkEnd w:id="71"/>
    </w:p>
    <w:p w14:paraId="34D3678F">
      <w:pPr>
        <w:spacing w:line="360" w:lineRule="auto"/>
        <w:ind w:firstLine="437"/>
        <w:outlineLvl w:val="3"/>
        <w:rPr>
          <w:rFonts w:hint="eastAsia" w:ascii="宋体" w:hAnsi="宋体" w:eastAsia="宋体" w:cs="宋体"/>
          <w:b/>
          <w:bCs/>
          <w:color w:val="auto"/>
          <w:szCs w:val="21"/>
          <w:highlight w:val="none"/>
          <w:lang w:val="zh-CN"/>
        </w:rPr>
      </w:pPr>
      <w:bookmarkStart w:id="72" w:name="_Toc279701241"/>
      <w:bookmarkStart w:id="73" w:name="_Toc13336"/>
      <w:bookmarkStart w:id="74" w:name="_Toc32504"/>
      <w:bookmarkStart w:id="75" w:name="_Toc27635"/>
      <w:bookmarkStart w:id="76" w:name="_Toc487900350"/>
      <w:bookmarkStart w:id="77" w:name="_Toc259093670"/>
      <w:r>
        <w:rPr>
          <w:rFonts w:hint="eastAsia" w:ascii="宋体" w:hAnsi="宋体" w:eastAsia="宋体" w:cs="宋体"/>
          <w:b/>
          <w:bCs/>
          <w:color w:val="auto"/>
          <w:szCs w:val="21"/>
          <w:highlight w:val="none"/>
          <w:lang w:val="zh-CN"/>
        </w:rPr>
        <w:t>2.2 技术规范</w:t>
      </w:r>
      <w:bookmarkEnd w:id="72"/>
      <w:bookmarkEnd w:id="73"/>
      <w:bookmarkEnd w:id="74"/>
      <w:bookmarkEnd w:id="75"/>
      <w:bookmarkEnd w:id="76"/>
      <w:bookmarkEnd w:id="77"/>
    </w:p>
    <w:p w14:paraId="34B2292C">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A98BF12">
      <w:pPr>
        <w:spacing w:line="360" w:lineRule="auto"/>
        <w:ind w:firstLine="437"/>
        <w:outlineLvl w:val="3"/>
        <w:rPr>
          <w:rFonts w:hint="eastAsia" w:ascii="宋体" w:hAnsi="宋体" w:eastAsia="宋体" w:cs="宋体"/>
          <w:b/>
          <w:bCs/>
          <w:color w:val="auto"/>
          <w:szCs w:val="21"/>
          <w:highlight w:val="none"/>
          <w:lang w:val="zh-CN"/>
        </w:rPr>
      </w:pPr>
      <w:bookmarkStart w:id="78" w:name="_Toc27853"/>
      <w:bookmarkStart w:id="79" w:name="_Toc487900351"/>
      <w:bookmarkStart w:id="80" w:name="_Toc31634"/>
      <w:bookmarkStart w:id="81" w:name="_Toc9829"/>
      <w:bookmarkStart w:id="82" w:name="_Toc259093671"/>
      <w:bookmarkStart w:id="83" w:name="_Toc279701242"/>
      <w:r>
        <w:rPr>
          <w:rFonts w:hint="eastAsia" w:ascii="宋体" w:hAnsi="宋体" w:eastAsia="宋体" w:cs="宋体"/>
          <w:b/>
          <w:bCs/>
          <w:color w:val="auto"/>
          <w:szCs w:val="21"/>
          <w:highlight w:val="none"/>
          <w:lang w:val="zh-CN"/>
        </w:rPr>
        <w:t>2.3 知识产权</w:t>
      </w:r>
      <w:bookmarkEnd w:id="78"/>
      <w:bookmarkEnd w:id="79"/>
      <w:bookmarkEnd w:id="80"/>
      <w:bookmarkEnd w:id="81"/>
      <w:bookmarkEnd w:id="82"/>
      <w:bookmarkEnd w:id="83"/>
    </w:p>
    <w:p w14:paraId="2B4DDFAD">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4C9F6EED">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2.3.2具有知识产权的计算机软件等货物的知识产权归属，详见</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w:t>
      </w:r>
    </w:p>
    <w:p w14:paraId="4ED35569">
      <w:pPr>
        <w:spacing w:line="360" w:lineRule="auto"/>
        <w:ind w:firstLine="437"/>
        <w:outlineLvl w:val="3"/>
        <w:rPr>
          <w:rFonts w:hint="eastAsia" w:ascii="宋体" w:hAnsi="宋体" w:eastAsia="宋体" w:cs="宋体"/>
          <w:b/>
          <w:bCs/>
          <w:color w:val="auto"/>
          <w:szCs w:val="21"/>
          <w:highlight w:val="none"/>
          <w:lang w:val="zh-CN"/>
        </w:rPr>
      </w:pPr>
      <w:bookmarkStart w:id="84" w:name="_Toc259093674"/>
      <w:bookmarkStart w:id="85" w:name="_Ref467379536"/>
      <w:bookmarkStart w:id="86" w:name="_Ref467378541"/>
      <w:bookmarkStart w:id="87" w:name="_Ref467378591"/>
      <w:bookmarkStart w:id="88" w:name="_Toc279701245"/>
      <w:bookmarkStart w:id="89" w:name="_Ref467379542"/>
      <w:bookmarkStart w:id="90" w:name="_Toc487900354"/>
      <w:bookmarkStart w:id="91" w:name="_Ref467379527"/>
      <w:bookmarkStart w:id="92" w:name="_Toc19074"/>
      <w:bookmarkStart w:id="93" w:name="_Toc30272"/>
      <w:bookmarkStart w:id="94" w:name="_Toc26182"/>
      <w:r>
        <w:rPr>
          <w:rFonts w:hint="eastAsia" w:ascii="宋体" w:hAnsi="宋体" w:eastAsia="宋体" w:cs="宋体"/>
          <w:b/>
          <w:bCs/>
          <w:color w:val="auto"/>
          <w:szCs w:val="21"/>
          <w:highlight w:val="none"/>
          <w:lang w:val="zh-CN"/>
        </w:rPr>
        <w:t>2.</w:t>
      </w:r>
      <w:bookmarkEnd w:id="84"/>
      <w:bookmarkEnd w:id="85"/>
      <w:bookmarkEnd w:id="86"/>
      <w:bookmarkEnd w:id="87"/>
      <w:bookmarkEnd w:id="88"/>
      <w:bookmarkEnd w:id="89"/>
      <w:bookmarkEnd w:id="90"/>
      <w:bookmarkEnd w:id="91"/>
      <w:r>
        <w:rPr>
          <w:rFonts w:hint="eastAsia" w:ascii="宋体" w:hAnsi="宋体" w:eastAsia="宋体" w:cs="宋体"/>
          <w:b/>
          <w:bCs/>
          <w:color w:val="auto"/>
          <w:szCs w:val="21"/>
          <w:highlight w:val="none"/>
          <w:lang w:val="zh-CN"/>
        </w:rPr>
        <w:t>4 履约检查和问题反馈</w:t>
      </w:r>
      <w:bookmarkEnd w:id="92"/>
      <w:bookmarkEnd w:id="93"/>
      <w:bookmarkEnd w:id="94"/>
    </w:p>
    <w:p w14:paraId="3F5D0809">
      <w:pPr>
        <w:spacing w:line="360" w:lineRule="auto"/>
        <w:ind w:firstLine="435"/>
        <w:rPr>
          <w:rFonts w:hint="eastAsia" w:ascii="宋体" w:hAnsi="宋体" w:eastAsia="宋体" w:cs="宋体"/>
          <w:color w:val="auto"/>
          <w:szCs w:val="21"/>
          <w:highlight w:val="none"/>
        </w:rPr>
      </w:pPr>
      <w:bookmarkStart w:id="95" w:name="_Toc186431854"/>
      <w:bookmarkStart w:id="96" w:name="_Toc279701247"/>
      <w:bookmarkStart w:id="97" w:name="_Toc487900357"/>
      <w:bookmarkStart w:id="98" w:name="_Ref467379807"/>
      <w:bookmarkStart w:id="99" w:name="_Ref467379793"/>
      <w:bookmarkStart w:id="100" w:name="_Toc259093676"/>
      <w:r>
        <w:rPr>
          <w:rFonts w:hint="eastAsia" w:ascii="宋体" w:hAnsi="宋体" w:eastAsia="宋体" w:cs="宋体"/>
          <w:color w:val="auto"/>
          <w:szCs w:val="21"/>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6436CAEB">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2.4.2合同履行期间，甲方有权将履行过程中出现的问题反馈给乙方，双方当事人应以书面形式约定需要完善和改进的内容</w:t>
      </w:r>
      <w:bookmarkEnd w:id="95"/>
      <w:bookmarkStart w:id="101" w:name="_Toc186431855"/>
      <w:r>
        <w:rPr>
          <w:rFonts w:hint="eastAsia" w:ascii="宋体" w:hAnsi="宋体" w:eastAsia="宋体" w:cs="宋体"/>
          <w:color w:val="auto"/>
          <w:szCs w:val="21"/>
          <w:highlight w:val="none"/>
        </w:rPr>
        <w:t>。</w:t>
      </w:r>
    </w:p>
    <w:bookmarkEnd w:id="101"/>
    <w:p w14:paraId="7DFBC5C7">
      <w:pPr>
        <w:spacing w:line="360" w:lineRule="auto"/>
        <w:ind w:firstLine="437"/>
        <w:outlineLvl w:val="3"/>
        <w:rPr>
          <w:rFonts w:hint="eastAsia" w:ascii="宋体" w:hAnsi="宋体" w:eastAsia="宋体" w:cs="宋体"/>
          <w:b/>
          <w:bCs/>
          <w:color w:val="auto"/>
          <w:szCs w:val="21"/>
          <w:highlight w:val="none"/>
          <w:lang w:val="zh-CN"/>
        </w:rPr>
      </w:pPr>
      <w:bookmarkStart w:id="102" w:name="_Toc7836"/>
      <w:bookmarkStart w:id="103" w:name="_Toc28451"/>
      <w:bookmarkStart w:id="104" w:name="_Toc19219"/>
      <w:r>
        <w:rPr>
          <w:rFonts w:hint="eastAsia" w:ascii="宋体" w:hAnsi="宋体" w:eastAsia="宋体" w:cs="宋体"/>
          <w:b/>
          <w:bCs/>
          <w:color w:val="auto"/>
          <w:szCs w:val="21"/>
          <w:highlight w:val="none"/>
          <w:lang w:val="zh-CN"/>
        </w:rPr>
        <w:t>2.5 结算方式和付款条件</w:t>
      </w:r>
      <w:bookmarkEnd w:id="96"/>
      <w:bookmarkEnd w:id="97"/>
      <w:bookmarkEnd w:id="98"/>
      <w:bookmarkEnd w:id="99"/>
      <w:bookmarkEnd w:id="100"/>
      <w:bookmarkEnd w:id="102"/>
      <w:bookmarkEnd w:id="103"/>
      <w:bookmarkEnd w:id="104"/>
    </w:p>
    <w:p w14:paraId="45A04562">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w:t>
      </w:r>
    </w:p>
    <w:p w14:paraId="1FFEA25E">
      <w:pPr>
        <w:spacing w:line="360" w:lineRule="auto"/>
        <w:ind w:firstLine="437"/>
        <w:outlineLvl w:val="3"/>
        <w:rPr>
          <w:rFonts w:hint="eastAsia" w:ascii="宋体" w:hAnsi="宋体" w:eastAsia="宋体" w:cs="宋体"/>
          <w:b/>
          <w:bCs/>
          <w:color w:val="auto"/>
          <w:szCs w:val="21"/>
          <w:highlight w:val="none"/>
          <w:lang w:val="zh-CN"/>
        </w:rPr>
      </w:pPr>
      <w:bookmarkStart w:id="105" w:name="_Ref467379863"/>
      <w:bookmarkStart w:id="106" w:name="_Toc259093677"/>
      <w:bookmarkStart w:id="107" w:name="_Toc487900358"/>
      <w:bookmarkStart w:id="108" w:name="_Ref467379852"/>
      <w:bookmarkStart w:id="109" w:name="_Toc279701248"/>
      <w:bookmarkStart w:id="110" w:name="_Ref467379923"/>
      <w:bookmarkStart w:id="111" w:name="_Toc3225"/>
      <w:bookmarkStart w:id="112" w:name="_Toc16110"/>
      <w:bookmarkStart w:id="113" w:name="_Toc774"/>
      <w:r>
        <w:rPr>
          <w:rFonts w:hint="eastAsia" w:ascii="宋体" w:hAnsi="宋体" w:eastAsia="宋体" w:cs="宋体"/>
          <w:b/>
          <w:bCs/>
          <w:color w:val="auto"/>
          <w:szCs w:val="21"/>
          <w:highlight w:val="none"/>
          <w:lang w:val="zh-CN"/>
        </w:rPr>
        <w:t>2.6 技术资料</w:t>
      </w:r>
      <w:bookmarkEnd w:id="105"/>
      <w:bookmarkEnd w:id="106"/>
      <w:bookmarkEnd w:id="107"/>
      <w:bookmarkEnd w:id="108"/>
      <w:bookmarkEnd w:id="109"/>
      <w:bookmarkEnd w:id="110"/>
      <w:r>
        <w:rPr>
          <w:rFonts w:hint="eastAsia" w:ascii="宋体" w:hAnsi="宋体" w:eastAsia="宋体" w:cs="宋体"/>
          <w:b/>
          <w:bCs/>
          <w:color w:val="auto"/>
          <w:szCs w:val="21"/>
          <w:highlight w:val="none"/>
          <w:lang w:val="zh-CN"/>
        </w:rPr>
        <w:t>和保密义务</w:t>
      </w:r>
      <w:bookmarkEnd w:id="111"/>
      <w:bookmarkEnd w:id="112"/>
      <w:bookmarkEnd w:id="113"/>
    </w:p>
    <w:p w14:paraId="3804EBF3">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2.6.1乙方有权依据合同约定和项目需要，向甲方了解有关情况，调阅有关资料等，甲方应予积极配合；</w:t>
      </w:r>
    </w:p>
    <w:p w14:paraId="42E0432F">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2.6.2乙方有义务妥善保管和保护由甲方提供的前款信息和资料等；</w:t>
      </w:r>
    </w:p>
    <w:p w14:paraId="05248C3B">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F0E6365">
      <w:pPr>
        <w:spacing w:line="360" w:lineRule="auto"/>
        <w:ind w:firstLine="437"/>
        <w:outlineLvl w:val="3"/>
        <w:rPr>
          <w:rFonts w:hint="eastAsia" w:ascii="宋体" w:hAnsi="宋体" w:eastAsia="宋体" w:cs="宋体"/>
          <w:b/>
          <w:bCs/>
          <w:color w:val="auto"/>
          <w:szCs w:val="21"/>
          <w:highlight w:val="none"/>
          <w:lang w:val="zh-CN"/>
        </w:rPr>
      </w:pPr>
      <w:bookmarkStart w:id="114" w:name="_Toc7860"/>
      <w:r>
        <w:rPr>
          <w:rFonts w:hint="eastAsia" w:ascii="宋体" w:hAnsi="宋体" w:eastAsia="宋体" w:cs="宋体"/>
          <w:b/>
          <w:bCs/>
          <w:color w:val="auto"/>
          <w:szCs w:val="21"/>
          <w:highlight w:val="none"/>
          <w:lang w:val="zh-CN"/>
        </w:rPr>
        <w:t>2.7 质量保证</w:t>
      </w:r>
      <w:bookmarkEnd w:id="114"/>
    </w:p>
    <w:p w14:paraId="2D67B3EA">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2.7.1乙方应建立和完善履行合同的内部质量保证体系，并提供相关内部规章制度给甲方，以便甲方进行监督检查；</w:t>
      </w:r>
    </w:p>
    <w:p w14:paraId="2C67C65B">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2.7.2乙方应保证履行合同的人员数量和素质、软件和硬件设备的配置、场地、环境和设施等满足全面履行合同的要求，并应接受甲方的监督检查。</w:t>
      </w:r>
    </w:p>
    <w:p w14:paraId="2D566B5A">
      <w:pPr>
        <w:spacing w:line="360" w:lineRule="auto"/>
        <w:ind w:firstLine="437"/>
        <w:outlineLvl w:val="3"/>
        <w:rPr>
          <w:rFonts w:hint="eastAsia" w:ascii="宋体" w:hAnsi="宋体" w:eastAsia="宋体" w:cs="宋体"/>
          <w:b/>
          <w:color w:val="auto"/>
          <w:szCs w:val="21"/>
          <w:highlight w:val="none"/>
        </w:rPr>
      </w:pPr>
      <w:bookmarkStart w:id="115" w:name="_Toc22267"/>
      <w:r>
        <w:rPr>
          <w:rFonts w:hint="eastAsia" w:ascii="宋体" w:hAnsi="宋体" w:eastAsia="宋体" w:cs="宋体"/>
          <w:b/>
          <w:color w:val="auto"/>
          <w:szCs w:val="21"/>
          <w:highlight w:val="none"/>
        </w:rPr>
        <w:t>2.8 延迟履行</w:t>
      </w:r>
      <w:bookmarkEnd w:id="115"/>
    </w:p>
    <w:p w14:paraId="584F25C7">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251AA8DF">
      <w:pPr>
        <w:spacing w:line="360" w:lineRule="auto"/>
        <w:ind w:firstLine="437"/>
        <w:outlineLvl w:val="3"/>
        <w:rPr>
          <w:rFonts w:hint="eastAsia" w:ascii="宋体" w:hAnsi="宋体" w:eastAsia="宋体" w:cs="宋体"/>
          <w:b/>
          <w:bCs/>
          <w:color w:val="auto"/>
          <w:szCs w:val="21"/>
          <w:highlight w:val="none"/>
          <w:lang w:val="zh-CN"/>
        </w:rPr>
      </w:pPr>
      <w:bookmarkStart w:id="116" w:name="_Toc7502"/>
      <w:bookmarkStart w:id="117" w:name="_Toc259093683"/>
      <w:bookmarkStart w:id="118" w:name="_Toc487900364"/>
      <w:bookmarkStart w:id="119" w:name="_Ref467378121"/>
      <w:bookmarkStart w:id="120" w:name="_Toc279701254"/>
      <w:r>
        <w:rPr>
          <w:rFonts w:hint="eastAsia" w:ascii="宋体" w:hAnsi="宋体" w:eastAsia="宋体" w:cs="宋体"/>
          <w:b/>
          <w:bCs/>
          <w:color w:val="auto"/>
          <w:szCs w:val="21"/>
          <w:highlight w:val="none"/>
          <w:lang w:val="zh-CN"/>
        </w:rPr>
        <w:t>2.9 合同变更</w:t>
      </w:r>
      <w:bookmarkEnd w:id="116"/>
    </w:p>
    <w:p w14:paraId="2A13090F">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2.9.1双方当事人协商一致，可以签订书面补充合同的形式变更合同，但不得违背采购文件确定的事项；</w:t>
      </w:r>
    </w:p>
    <w:p w14:paraId="44D6F1B7">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2.9.2合同继续履行将损害国家利益和社会公共利益的，双方当事人应当以书面形式变更合同。有过错的一方应当承担赔偿责任，双方当事人都有过错的，各自承担相应的责任。</w:t>
      </w:r>
      <w:bookmarkStart w:id="121" w:name="_Toc279701259"/>
      <w:bookmarkStart w:id="122" w:name="_Toc487900369"/>
      <w:bookmarkStart w:id="123" w:name="_Toc259093688"/>
    </w:p>
    <w:p w14:paraId="0DE270EB">
      <w:pPr>
        <w:spacing w:line="360" w:lineRule="auto"/>
        <w:ind w:firstLine="437"/>
        <w:outlineLvl w:val="3"/>
        <w:rPr>
          <w:rFonts w:hint="eastAsia" w:ascii="宋体" w:hAnsi="宋体" w:eastAsia="宋体" w:cs="宋体"/>
          <w:b/>
          <w:bCs/>
          <w:color w:val="auto"/>
          <w:szCs w:val="21"/>
          <w:highlight w:val="none"/>
          <w:lang w:val="zh-CN"/>
        </w:rPr>
      </w:pPr>
      <w:bookmarkStart w:id="124" w:name="_Toc22955"/>
      <w:bookmarkStart w:id="125" w:name="_Toc10366"/>
      <w:bookmarkStart w:id="126" w:name="_Toc15237"/>
      <w:r>
        <w:rPr>
          <w:rFonts w:hint="eastAsia" w:ascii="宋体" w:hAnsi="宋体" w:eastAsia="宋体" w:cs="宋体"/>
          <w:b/>
          <w:bCs/>
          <w:color w:val="auto"/>
          <w:szCs w:val="21"/>
          <w:highlight w:val="none"/>
          <w:lang w:val="zh-CN"/>
        </w:rPr>
        <w:t>2.10 合同转让</w:t>
      </w:r>
      <w:bookmarkEnd w:id="121"/>
      <w:bookmarkEnd w:id="122"/>
      <w:bookmarkEnd w:id="123"/>
      <w:r>
        <w:rPr>
          <w:rFonts w:hint="eastAsia" w:ascii="宋体" w:hAnsi="宋体" w:eastAsia="宋体" w:cs="宋体"/>
          <w:b/>
          <w:bCs/>
          <w:color w:val="auto"/>
          <w:szCs w:val="21"/>
          <w:highlight w:val="none"/>
          <w:lang w:val="zh-CN"/>
        </w:rPr>
        <w:t>和分包</w:t>
      </w:r>
      <w:bookmarkEnd w:id="124"/>
      <w:bookmarkEnd w:id="125"/>
      <w:bookmarkEnd w:id="126"/>
    </w:p>
    <w:p w14:paraId="287C69F4">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67FFCA63">
      <w:pPr>
        <w:spacing w:line="360" w:lineRule="auto"/>
        <w:ind w:firstLine="437"/>
        <w:outlineLvl w:val="3"/>
        <w:rPr>
          <w:rFonts w:hint="eastAsia" w:ascii="宋体" w:hAnsi="宋体" w:eastAsia="宋体" w:cs="宋体"/>
          <w:b/>
          <w:bCs/>
          <w:color w:val="auto"/>
          <w:szCs w:val="21"/>
          <w:highlight w:val="none"/>
          <w:lang w:val="zh-CN"/>
        </w:rPr>
      </w:pPr>
      <w:bookmarkStart w:id="127" w:name="_Toc13566"/>
      <w:bookmarkStart w:id="128" w:name="_Toc16508"/>
      <w:bookmarkStart w:id="129" w:name="_Toc14066"/>
      <w:r>
        <w:rPr>
          <w:rFonts w:hint="eastAsia" w:ascii="宋体" w:hAnsi="宋体" w:eastAsia="宋体" w:cs="宋体"/>
          <w:b/>
          <w:bCs/>
          <w:color w:val="auto"/>
          <w:szCs w:val="21"/>
          <w:highlight w:val="none"/>
          <w:lang w:val="zh-CN"/>
        </w:rPr>
        <w:t>2.11 不可抗力</w:t>
      </w:r>
      <w:bookmarkEnd w:id="127"/>
      <w:bookmarkEnd w:id="128"/>
      <w:bookmarkEnd w:id="129"/>
    </w:p>
    <w:p w14:paraId="3A3E2028">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2.11.1如果任何一方遭遇法律规定的不可抗力，致使合同履行受阻时，履行合同的期限应予延长，延长的期限应相当于不可抗力所影响的时间；</w:t>
      </w:r>
    </w:p>
    <w:p w14:paraId="5A0FCC7B">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2.11.2因不可抗力致使不能实现合同目的的，当事人可以解除合同；</w:t>
      </w:r>
    </w:p>
    <w:p w14:paraId="73E61839">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2.11.3因不可抗力致使合同有变更必要的，双方当事人应在</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约定时间内以书面形式变更合同；</w:t>
      </w:r>
    </w:p>
    <w:p w14:paraId="434D5F88">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2.11.4受不可抗力影响的一方在不可抗力发生后，应在</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约定时间内以书面形式通知对方当事人，并在</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约定时间内，将有关部门出具的证明文件送达对方当事人。</w:t>
      </w:r>
    </w:p>
    <w:p w14:paraId="67C0C567">
      <w:pPr>
        <w:spacing w:line="360" w:lineRule="auto"/>
        <w:ind w:firstLine="437"/>
        <w:outlineLvl w:val="3"/>
        <w:rPr>
          <w:rFonts w:hint="eastAsia" w:ascii="宋体" w:hAnsi="宋体" w:eastAsia="宋体" w:cs="宋体"/>
          <w:b/>
          <w:bCs/>
          <w:color w:val="auto"/>
          <w:szCs w:val="21"/>
          <w:highlight w:val="none"/>
          <w:lang w:val="zh-CN"/>
        </w:rPr>
      </w:pPr>
      <w:bookmarkStart w:id="130" w:name="_Toc689"/>
      <w:bookmarkStart w:id="131" w:name="_Toc259093684"/>
      <w:bookmarkStart w:id="132" w:name="_Toc487900365"/>
      <w:bookmarkStart w:id="133" w:name="_Toc6969"/>
      <w:bookmarkStart w:id="134" w:name="_Toc30676"/>
      <w:bookmarkStart w:id="135" w:name="_Toc279701255"/>
      <w:r>
        <w:rPr>
          <w:rFonts w:hint="eastAsia" w:ascii="宋体" w:hAnsi="宋体" w:eastAsia="宋体" w:cs="宋体"/>
          <w:b/>
          <w:bCs/>
          <w:color w:val="auto"/>
          <w:szCs w:val="21"/>
          <w:highlight w:val="none"/>
          <w:lang w:val="zh-CN"/>
        </w:rPr>
        <w:t>2.12 税费</w:t>
      </w:r>
      <w:bookmarkEnd w:id="130"/>
      <w:bookmarkEnd w:id="131"/>
      <w:bookmarkEnd w:id="132"/>
      <w:bookmarkEnd w:id="133"/>
      <w:bookmarkEnd w:id="134"/>
      <w:bookmarkEnd w:id="135"/>
    </w:p>
    <w:p w14:paraId="4D1F5BCA">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与合同有关的一切税费，均按照中华人民共和国法律的相关规定缴纳。</w:t>
      </w:r>
    </w:p>
    <w:p w14:paraId="782E2153">
      <w:pPr>
        <w:spacing w:line="360" w:lineRule="auto"/>
        <w:ind w:firstLine="437"/>
        <w:outlineLvl w:val="3"/>
        <w:rPr>
          <w:rFonts w:hint="eastAsia" w:ascii="宋体" w:hAnsi="宋体" w:eastAsia="宋体" w:cs="宋体"/>
          <w:b/>
          <w:bCs/>
          <w:color w:val="auto"/>
          <w:szCs w:val="21"/>
          <w:highlight w:val="none"/>
          <w:lang w:val="zh-CN"/>
        </w:rPr>
      </w:pPr>
      <w:bookmarkStart w:id="136" w:name="_Toc7102"/>
      <w:bookmarkStart w:id="137" w:name="_Toc279701258"/>
      <w:bookmarkStart w:id="138" w:name="_Toc16959"/>
      <w:bookmarkStart w:id="139" w:name="_Toc8298"/>
      <w:bookmarkStart w:id="140" w:name="_Toc487900368"/>
      <w:bookmarkStart w:id="141" w:name="_Toc259093687"/>
      <w:r>
        <w:rPr>
          <w:rFonts w:hint="eastAsia" w:ascii="宋体" w:hAnsi="宋体" w:eastAsia="宋体" w:cs="宋体"/>
          <w:b/>
          <w:bCs/>
          <w:color w:val="auto"/>
          <w:szCs w:val="21"/>
          <w:highlight w:val="none"/>
          <w:lang w:val="zh-CN"/>
        </w:rPr>
        <w:t>2.13 乙方破产</w:t>
      </w:r>
      <w:bookmarkEnd w:id="136"/>
      <w:bookmarkEnd w:id="137"/>
      <w:bookmarkEnd w:id="138"/>
      <w:bookmarkEnd w:id="139"/>
      <w:bookmarkEnd w:id="140"/>
      <w:bookmarkEnd w:id="141"/>
    </w:p>
    <w:p w14:paraId="4383678E">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7F106AB">
      <w:pPr>
        <w:spacing w:line="360" w:lineRule="auto"/>
        <w:ind w:firstLine="437"/>
        <w:outlineLvl w:val="3"/>
        <w:rPr>
          <w:rFonts w:hint="eastAsia" w:ascii="宋体" w:hAnsi="宋体" w:eastAsia="宋体" w:cs="宋体"/>
          <w:b/>
          <w:color w:val="auto"/>
          <w:szCs w:val="21"/>
          <w:highlight w:val="none"/>
        </w:rPr>
      </w:pPr>
      <w:bookmarkStart w:id="142" w:name="_Toc6134"/>
      <w:bookmarkStart w:id="143" w:name="_Toc29333"/>
      <w:bookmarkStart w:id="144" w:name="_Toc15387"/>
      <w:r>
        <w:rPr>
          <w:rFonts w:hint="eastAsia" w:ascii="宋体" w:hAnsi="宋体" w:eastAsia="宋体" w:cs="宋体"/>
          <w:b/>
          <w:bCs/>
          <w:color w:val="auto"/>
          <w:szCs w:val="21"/>
          <w:highlight w:val="none"/>
          <w:lang w:val="zh-CN"/>
        </w:rPr>
        <w:t>2.14 合同中止、终止</w:t>
      </w:r>
      <w:bookmarkEnd w:id="142"/>
      <w:bookmarkEnd w:id="143"/>
      <w:bookmarkEnd w:id="144"/>
    </w:p>
    <w:p w14:paraId="704D9B3B">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2.14.1双方当事人不得擅自中止或者终止合同；</w:t>
      </w:r>
    </w:p>
    <w:p w14:paraId="1554F49F">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2.14.2合同继续履行将损害国家利益和社会公共利益的，双方当事人应当中止或者终止合同。有过错的一方应当承担赔偿责任，双方当事人都有过错的，各自承担相应的责任。</w:t>
      </w:r>
    </w:p>
    <w:p w14:paraId="3B047493">
      <w:pPr>
        <w:spacing w:line="360" w:lineRule="auto"/>
        <w:ind w:firstLine="437"/>
        <w:outlineLvl w:val="3"/>
        <w:rPr>
          <w:rFonts w:hint="eastAsia" w:ascii="宋体" w:hAnsi="宋体" w:eastAsia="宋体" w:cs="宋体"/>
          <w:b/>
          <w:bCs/>
          <w:color w:val="auto"/>
          <w:szCs w:val="21"/>
          <w:highlight w:val="none"/>
          <w:lang w:val="zh-CN"/>
        </w:rPr>
      </w:pPr>
      <w:bookmarkStart w:id="145" w:name="_Toc1125"/>
      <w:bookmarkStart w:id="146" w:name="_Toc14563"/>
      <w:bookmarkStart w:id="147" w:name="_Toc6596"/>
      <w:r>
        <w:rPr>
          <w:rFonts w:hint="eastAsia" w:ascii="宋体" w:hAnsi="宋体" w:eastAsia="宋体" w:cs="宋体"/>
          <w:b/>
          <w:bCs/>
          <w:color w:val="auto"/>
          <w:szCs w:val="21"/>
          <w:highlight w:val="none"/>
          <w:lang w:val="zh-CN"/>
        </w:rPr>
        <w:t>2.15 检验和验收</w:t>
      </w:r>
      <w:bookmarkEnd w:id="145"/>
      <w:bookmarkEnd w:id="146"/>
      <w:bookmarkEnd w:id="147"/>
    </w:p>
    <w:p w14:paraId="04EDFBCC">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2.15.1乙方按照</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的约定，定期提交服务报告，甲方按照</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的约定进行定期验收；</w:t>
      </w:r>
    </w:p>
    <w:p w14:paraId="4DE19B8D">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5083F4EF">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2.15.3检验和验收标准、程序等具体内容以及前述验收书的效力详见</w:t>
      </w:r>
      <w:r>
        <w:rPr>
          <w:rFonts w:hint="eastAsia" w:ascii="宋体" w:hAnsi="宋体" w:eastAsia="宋体" w:cs="宋体"/>
          <w:b/>
          <w:i/>
          <w:color w:val="auto"/>
          <w:szCs w:val="21"/>
          <w:highlight w:val="none"/>
          <w:u w:val="single"/>
        </w:rPr>
        <w:t>合同专用条款</w:t>
      </w:r>
      <w:r>
        <w:rPr>
          <w:rFonts w:hint="eastAsia" w:ascii="宋体" w:hAnsi="宋体" w:eastAsia="宋体" w:cs="宋体"/>
          <w:i/>
          <w:color w:val="auto"/>
          <w:szCs w:val="21"/>
          <w:highlight w:val="none"/>
        </w:rPr>
        <w:t>。</w:t>
      </w:r>
    </w:p>
    <w:bookmarkEnd w:id="117"/>
    <w:bookmarkEnd w:id="118"/>
    <w:bookmarkEnd w:id="119"/>
    <w:bookmarkEnd w:id="120"/>
    <w:p w14:paraId="13E4AD30">
      <w:pPr>
        <w:spacing w:line="360" w:lineRule="auto"/>
        <w:ind w:firstLine="437"/>
        <w:outlineLvl w:val="3"/>
        <w:rPr>
          <w:rFonts w:hint="eastAsia" w:ascii="宋体" w:hAnsi="宋体" w:eastAsia="宋体" w:cs="宋体"/>
          <w:b/>
          <w:bCs/>
          <w:color w:val="auto"/>
          <w:szCs w:val="21"/>
          <w:highlight w:val="none"/>
        </w:rPr>
      </w:pPr>
      <w:bookmarkStart w:id="148" w:name="_Toc10330"/>
      <w:bookmarkStart w:id="149" w:name="_Toc279701263"/>
      <w:bookmarkStart w:id="150" w:name="_Toc487900373"/>
      <w:bookmarkStart w:id="151" w:name="_Toc12773"/>
      <w:bookmarkStart w:id="152" w:name="_Toc259093692"/>
      <w:bookmarkStart w:id="153" w:name="_Toc18567"/>
      <w:r>
        <w:rPr>
          <w:rFonts w:hint="eastAsia" w:ascii="宋体" w:hAnsi="宋体" w:eastAsia="宋体" w:cs="宋体"/>
          <w:b/>
          <w:bCs/>
          <w:color w:val="auto"/>
          <w:szCs w:val="21"/>
          <w:highlight w:val="none"/>
        </w:rPr>
        <w:t xml:space="preserve">2.16 </w:t>
      </w:r>
      <w:r>
        <w:rPr>
          <w:rFonts w:hint="eastAsia" w:ascii="宋体" w:hAnsi="宋体" w:eastAsia="宋体" w:cs="宋体"/>
          <w:b/>
          <w:bCs/>
          <w:color w:val="auto"/>
          <w:szCs w:val="21"/>
          <w:highlight w:val="none"/>
          <w:lang w:val="zh-CN"/>
        </w:rPr>
        <w:t>合同使用的文字和适用的法律</w:t>
      </w:r>
      <w:bookmarkEnd w:id="148"/>
      <w:bookmarkEnd w:id="149"/>
      <w:bookmarkEnd w:id="150"/>
      <w:bookmarkEnd w:id="151"/>
      <w:bookmarkEnd w:id="152"/>
      <w:bookmarkEnd w:id="153"/>
    </w:p>
    <w:p w14:paraId="6AEAE4E6">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2.16.1合同使用汉语进行书写、变更和解释；</w:t>
      </w:r>
    </w:p>
    <w:p w14:paraId="4D22681F">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2.16.2合同适用中华人民共和国法律。</w:t>
      </w:r>
    </w:p>
    <w:p w14:paraId="14787E34">
      <w:pPr>
        <w:spacing w:line="360" w:lineRule="auto"/>
        <w:ind w:firstLine="437"/>
        <w:outlineLvl w:val="3"/>
        <w:rPr>
          <w:rFonts w:hint="eastAsia" w:ascii="宋体" w:hAnsi="宋体" w:eastAsia="宋体" w:cs="宋体"/>
          <w:b/>
          <w:color w:val="auto"/>
          <w:szCs w:val="21"/>
          <w:highlight w:val="none"/>
        </w:rPr>
      </w:pPr>
      <w:bookmarkStart w:id="154" w:name="_Toc19890"/>
      <w:bookmarkStart w:id="155" w:name="_Toc6885"/>
      <w:bookmarkStart w:id="156" w:name="_Toc14001"/>
      <w:r>
        <w:rPr>
          <w:rFonts w:hint="eastAsia" w:ascii="宋体" w:hAnsi="宋体" w:eastAsia="宋体" w:cs="宋体"/>
          <w:b/>
          <w:bCs/>
          <w:color w:val="auto"/>
          <w:szCs w:val="21"/>
          <w:highlight w:val="none"/>
          <w:lang w:val="zh-CN"/>
        </w:rPr>
        <w:t>2.1</w:t>
      </w:r>
      <w:r>
        <w:rPr>
          <w:rFonts w:hint="eastAsia" w:ascii="宋体" w:hAnsi="宋体" w:eastAsia="宋体" w:cs="宋体"/>
          <w:b/>
          <w:bCs/>
          <w:color w:val="auto"/>
          <w:szCs w:val="21"/>
          <w:highlight w:val="none"/>
        </w:rPr>
        <w:t>7</w:t>
      </w:r>
      <w:r>
        <w:rPr>
          <w:rFonts w:hint="eastAsia" w:ascii="宋体" w:hAnsi="宋体" w:eastAsia="宋体" w:cs="宋体"/>
          <w:b/>
          <w:bCs/>
          <w:color w:val="auto"/>
          <w:szCs w:val="21"/>
          <w:highlight w:val="none"/>
          <w:lang w:val="zh-CN"/>
        </w:rPr>
        <w:t xml:space="preserve"> 合同份数</w:t>
      </w:r>
      <w:bookmarkEnd w:id="154"/>
      <w:bookmarkEnd w:id="155"/>
      <w:bookmarkEnd w:id="156"/>
    </w:p>
    <w:p w14:paraId="3AD1187A">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合同份数按</w:t>
      </w:r>
      <w:r>
        <w:rPr>
          <w:rFonts w:hint="eastAsia" w:ascii="宋体" w:hAnsi="宋体" w:eastAsia="宋体" w:cs="宋体"/>
          <w:b/>
          <w:i/>
          <w:color w:val="auto"/>
          <w:szCs w:val="21"/>
          <w:highlight w:val="none"/>
          <w:u w:val="single"/>
        </w:rPr>
        <w:t>合同专用条款</w:t>
      </w:r>
      <w:r>
        <w:rPr>
          <w:rFonts w:hint="eastAsia" w:ascii="宋体" w:hAnsi="宋体" w:eastAsia="宋体" w:cs="宋体"/>
          <w:color w:val="auto"/>
          <w:szCs w:val="21"/>
          <w:highlight w:val="none"/>
        </w:rPr>
        <w:t>规定，每份均具有同等法律效力。</w:t>
      </w:r>
    </w:p>
    <w:p w14:paraId="7CF4CBC2">
      <w:pPr>
        <w:spacing w:line="360" w:lineRule="auto"/>
        <w:jc w:val="center"/>
        <w:outlineLvl w:val="2"/>
        <w:rPr>
          <w:rFonts w:hint="eastAsia" w:ascii="宋体" w:hAnsi="宋体" w:eastAsia="宋体" w:cs="宋体"/>
          <w:b/>
          <w:color w:val="auto"/>
          <w:szCs w:val="21"/>
          <w:highlight w:val="none"/>
        </w:rPr>
      </w:pPr>
      <w:bookmarkStart w:id="157" w:name="_Toc331685784"/>
    </w:p>
    <w:p w14:paraId="722C484E">
      <w:pPr>
        <w:spacing w:line="360" w:lineRule="auto"/>
        <w:jc w:val="center"/>
        <w:outlineLvl w:val="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第三部分 合同专用条款</w:t>
      </w:r>
      <w:bookmarkEnd w:id="157"/>
    </w:p>
    <w:p w14:paraId="0D6F5D5A">
      <w:pPr>
        <w:spacing w:line="360" w:lineRule="auto"/>
        <w:ind w:firstLine="435"/>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3"/>
        <w:gridCol w:w="7569"/>
      </w:tblGrid>
      <w:tr w14:paraId="6738B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3" w:type="dxa"/>
            <w:tcBorders>
              <w:left w:val="single" w:color="auto" w:sz="4" w:space="0"/>
            </w:tcBorders>
            <w:noWrap w:val="0"/>
            <w:vAlign w:val="center"/>
          </w:tcPr>
          <w:p w14:paraId="221D06DB">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7569" w:type="dxa"/>
            <w:noWrap w:val="0"/>
            <w:vAlign w:val="center"/>
          </w:tcPr>
          <w:p w14:paraId="2751932C">
            <w:pPr>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约定内容</w:t>
            </w:r>
          </w:p>
        </w:tc>
      </w:tr>
      <w:tr w14:paraId="5A7EB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3" w:type="dxa"/>
            <w:tcBorders>
              <w:left w:val="single" w:color="auto" w:sz="4" w:space="0"/>
            </w:tcBorders>
            <w:noWrap w:val="0"/>
            <w:vAlign w:val="center"/>
          </w:tcPr>
          <w:p w14:paraId="4A09BFB1">
            <w:pPr>
              <w:spacing w:line="560" w:lineRule="exact"/>
              <w:rPr>
                <w:rFonts w:hint="eastAsia" w:ascii="宋体" w:hAnsi="宋体" w:eastAsia="宋体" w:cs="宋体"/>
                <w:color w:val="auto"/>
                <w:szCs w:val="21"/>
                <w:highlight w:val="none"/>
              </w:rPr>
            </w:pPr>
          </w:p>
        </w:tc>
        <w:tc>
          <w:tcPr>
            <w:tcW w:w="7569" w:type="dxa"/>
            <w:noWrap w:val="0"/>
            <w:vAlign w:val="center"/>
          </w:tcPr>
          <w:p w14:paraId="1AD9BA5A">
            <w:pPr>
              <w:spacing w:line="560" w:lineRule="exact"/>
              <w:rPr>
                <w:rFonts w:hint="eastAsia" w:ascii="宋体" w:hAnsi="宋体" w:eastAsia="宋体" w:cs="宋体"/>
                <w:color w:val="auto"/>
                <w:szCs w:val="21"/>
                <w:highlight w:val="none"/>
              </w:rPr>
            </w:pPr>
          </w:p>
        </w:tc>
      </w:tr>
      <w:tr w14:paraId="45E6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1B629A2F">
            <w:pPr>
              <w:spacing w:line="560" w:lineRule="exact"/>
              <w:rPr>
                <w:rFonts w:hint="eastAsia" w:ascii="宋体" w:hAnsi="宋体" w:eastAsia="宋体" w:cs="宋体"/>
                <w:color w:val="auto"/>
                <w:szCs w:val="21"/>
                <w:highlight w:val="none"/>
              </w:rPr>
            </w:pPr>
          </w:p>
        </w:tc>
        <w:tc>
          <w:tcPr>
            <w:tcW w:w="7569" w:type="dxa"/>
            <w:noWrap w:val="0"/>
            <w:vAlign w:val="center"/>
          </w:tcPr>
          <w:p w14:paraId="28883BE4">
            <w:pPr>
              <w:spacing w:line="560" w:lineRule="exact"/>
              <w:rPr>
                <w:rFonts w:hint="eastAsia" w:ascii="宋体" w:hAnsi="宋体" w:eastAsia="宋体" w:cs="宋体"/>
                <w:color w:val="auto"/>
                <w:szCs w:val="21"/>
                <w:highlight w:val="none"/>
              </w:rPr>
            </w:pPr>
          </w:p>
        </w:tc>
      </w:tr>
      <w:tr w14:paraId="54375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37D6A815">
            <w:pPr>
              <w:spacing w:line="560" w:lineRule="exact"/>
              <w:rPr>
                <w:rFonts w:hint="eastAsia" w:ascii="宋体" w:hAnsi="宋体" w:eastAsia="宋体" w:cs="宋体"/>
                <w:color w:val="auto"/>
                <w:szCs w:val="21"/>
                <w:highlight w:val="none"/>
              </w:rPr>
            </w:pPr>
          </w:p>
        </w:tc>
        <w:tc>
          <w:tcPr>
            <w:tcW w:w="7569" w:type="dxa"/>
            <w:noWrap w:val="0"/>
            <w:vAlign w:val="center"/>
          </w:tcPr>
          <w:p w14:paraId="21AE918E">
            <w:pPr>
              <w:spacing w:line="560" w:lineRule="exact"/>
              <w:rPr>
                <w:rFonts w:hint="eastAsia" w:ascii="宋体" w:hAnsi="宋体" w:eastAsia="宋体" w:cs="宋体"/>
                <w:color w:val="auto"/>
                <w:szCs w:val="21"/>
                <w:highlight w:val="none"/>
              </w:rPr>
            </w:pPr>
          </w:p>
        </w:tc>
      </w:tr>
      <w:tr w14:paraId="6AF89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097E20B6">
            <w:pPr>
              <w:spacing w:line="560" w:lineRule="exact"/>
              <w:rPr>
                <w:rFonts w:hint="eastAsia" w:ascii="宋体" w:hAnsi="宋体" w:eastAsia="宋体" w:cs="宋体"/>
                <w:color w:val="auto"/>
                <w:szCs w:val="21"/>
                <w:highlight w:val="none"/>
              </w:rPr>
            </w:pPr>
          </w:p>
        </w:tc>
        <w:tc>
          <w:tcPr>
            <w:tcW w:w="7569" w:type="dxa"/>
            <w:noWrap w:val="0"/>
            <w:vAlign w:val="center"/>
          </w:tcPr>
          <w:p w14:paraId="072EA74E">
            <w:pPr>
              <w:spacing w:line="560" w:lineRule="exact"/>
              <w:rPr>
                <w:rFonts w:hint="eastAsia" w:ascii="宋体" w:hAnsi="宋体" w:eastAsia="宋体" w:cs="宋体"/>
                <w:color w:val="auto"/>
                <w:szCs w:val="21"/>
                <w:highlight w:val="none"/>
              </w:rPr>
            </w:pPr>
          </w:p>
        </w:tc>
      </w:tr>
      <w:tr w14:paraId="296A8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25E520CA">
            <w:pPr>
              <w:spacing w:line="560" w:lineRule="exact"/>
              <w:rPr>
                <w:rFonts w:hint="eastAsia" w:ascii="宋体" w:hAnsi="宋体" w:eastAsia="宋体" w:cs="宋体"/>
                <w:color w:val="auto"/>
                <w:szCs w:val="21"/>
                <w:highlight w:val="none"/>
              </w:rPr>
            </w:pPr>
          </w:p>
        </w:tc>
        <w:tc>
          <w:tcPr>
            <w:tcW w:w="7569" w:type="dxa"/>
            <w:noWrap w:val="0"/>
            <w:vAlign w:val="center"/>
          </w:tcPr>
          <w:p w14:paraId="6BD7D14C">
            <w:pPr>
              <w:spacing w:line="560" w:lineRule="exact"/>
              <w:rPr>
                <w:rFonts w:hint="eastAsia" w:ascii="宋体" w:hAnsi="宋体" w:eastAsia="宋体" w:cs="宋体"/>
                <w:color w:val="auto"/>
                <w:szCs w:val="21"/>
                <w:highlight w:val="none"/>
                <w:u w:val="single"/>
              </w:rPr>
            </w:pPr>
          </w:p>
        </w:tc>
      </w:tr>
      <w:tr w14:paraId="73853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6A4C13AA">
            <w:pPr>
              <w:spacing w:line="560" w:lineRule="exact"/>
              <w:rPr>
                <w:rFonts w:hint="eastAsia" w:ascii="宋体" w:hAnsi="宋体" w:eastAsia="宋体" w:cs="宋体"/>
                <w:color w:val="auto"/>
                <w:szCs w:val="21"/>
                <w:highlight w:val="none"/>
              </w:rPr>
            </w:pPr>
          </w:p>
        </w:tc>
        <w:tc>
          <w:tcPr>
            <w:tcW w:w="7569" w:type="dxa"/>
            <w:noWrap w:val="0"/>
            <w:vAlign w:val="center"/>
          </w:tcPr>
          <w:p w14:paraId="0C76738F">
            <w:pPr>
              <w:spacing w:line="560" w:lineRule="exact"/>
              <w:rPr>
                <w:rFonts w:hint="eastAsia" w:ascii="宋体" w:hAnsi="宋体" w:eastAsia="宋体" w:cs="宋体"/>
                <w:color w:val="auto"/>
                <w:szCs w:val="21"/>
                <w:highlight w:val="none"/>
              </w:rPr>
            </w:pPr>
          </w:p>
        </w:tc>
      </w:tr>
      <w:tr w14:paraId="21EE8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3" w:type="dxa"/>
            <w:tcBorders>
              <w:left w:val="single" w:color="auto" w:sz="4" w:space="0"/>
            </w:tcBorders>
            <w:noWrap w:val="0"/>
            <w:vAlign w:val="center"/>
          </w:tcPr>
          <w:p w14:paraId="198A0A70">
            <w:pPr>
              <w:spacing w:line="560" w:lineRule="exact"/>
              <w:rPr>
                <w:rFonts w:hint="eastAsia" w:ascii="宋体" w:hAnsi="宋体" w:eastAsia="宋体" w:cs="宋体"/>
                <w:color w:val="auto"/>
                <w:szCs w:val="21"/>
                <w:highlight w:val="none"/>
              </w:rPr>
            </w:pPr>
          </w:p>
        </w:tc>
        <w:tc>
          <w:tcPr>
            <w:tcW w:w="7569" w:type="dxa"/>
            <w:noWrap w:val="0"/>
            <w:vAlign w:val="center"/>
          </w:tcPr>
          <w:p w14:paraId="43F8DC1B">
            <w:pPr>
              <w:spacing w:line="560" w:lineRule="exact"/>
              <w:rPr>
                <w:rFonts w:hint="eastAsia" w:ascii="宋体" w:hAnsi="宋体" w:eastAsia="宋体" w:cs="宋体"/>
                <w:color w:val="auto"/>
                <w:szCs w:val="21"/>
                <w:highlight w:val="none"/>
                <w:u w:val="single"/>
              </w:rPr>
            </w:pPr>
          </w:p>
        </w:tc>
      </w:tr>
      <w:tr w14:paraId="4323B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7E5EAE15">
            <w:pPr>
              <w:spacing w:line="560" w:lineRule="exact"/>
              <w:rPr>
                <w:rFonts w:hint="eastAsia" w:ascii="宋体" w:hAnsi="宋体" w:eastAsia="宋体" w:cs="宋体"/>
                <w:color w:val="auto"/>
                <w:szCs w:val="21"/>
                <w:highlight w:val="none"/>
              </w:rPr>
            </w:pPr>
          </w:p>
        </w:tc>
        <w:tc>
          <w:tcPr>
            <w:tcW w:w="7569" w:type="dxa"/>
            <w:noWrap w:val="0"/>
            <w:vAlign w:val="center"/>
          </w:tcPr>
          <w:p w14:paraId="1AC0CAEC">
            <w:pPr>
              <w:spacing w:line="560" w:lineRule="exact"/>
              <w:rPr>
                <w:rFonts w:hint="eastAsia" w:ascii="宋体" w:hAnsi="宋体" w:eastAsia="宋体" w:cs="宋体"/>
                <w:color w:val="auto"/>
                <w:szCs w:val="21"/>
                <w:highlight w:val="none"/>
              </w:rPr>
            </w:pPr>
          </w:p>
        </w:tc>
      </w:tr>
      <w:tr w14:paraId="04B22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28373C99">
            <w:pPr>
              <w:spacing w:line="560" w:lineRule="exact"/>
              <w:rPr>
                <w:rFonts w:hint="eastAsia" w:ascii="宋体" w:hAnsi="宋体" w:eastAsia="宋体" w:cs="宋体"/>
                <w:color w:val="auto"/>
                <w:szCs w:val="21"/>
                <w:highlight w:val="none"/>
              </w:rPr>
            </w:pPr>
          </w:p>
        </w:tc>
        <w:tc>
          <w:tcPr>
            <w:tcW w:w="7569" w:type="dxa"/>
            <w:noWrap w:val="0"/>
            <w:vAlign w:val="center"/>
          </w:tcPr>
          <w:p w14:paraId="2D1122B3">
            <w:pPr>
              <w:spacing w:line="560" w:lineRule="exact"/>
              <w:rPr>
                <w:rFonts w:hint="eastAsia" w:ascii="宋体" w:hAnsi="宋体" w:eastAsia="宋体" w:cs="宋体"/>
                <w:color w:val="auto"/>
                <w:szCs w:val="21"/>
                <w:highlight w:val="none"/>
              </w:rPr>
            </w:pPr>
          </w:p>
        </w:tc>
      </w:tr>
      <w:tr w14:paraId="51698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left w:val="single" w:color="auto" w:sz="4" w:space="0"/>
            </w:tcBorders>
            <w:noWrap w:val="0"/>
            <w:vAlign w:val="center"/>
          </w:tcPr>
          <w:p w14:paraId="7AC38E44">
            <w:pPr>
              <w:spacing w:line="560" w:lineRule="exact"/>
              <w:rPr>
                <w:rFonts w:hint="eastAsia" w:ascii="宋体" w:hAnsi="宋体" w:eastAsia="宋体" w:cs="宋体"/>
                <w:color w:val="auto"/>
                <w:szCs w:val="21"/>
                <w:highlight w:val="none"/>
              </w:rPr>
            </w:pPr>
          </w:p>
        </w:tc>
        <w:tc>
          <w:tcPr>
            <w:tcW w:w="7569" w:type="dxa"/>
            <w:noWrap w:val="0"/>
            <w:vAlign w:val="center"/>
          </w:tcPr>
          <w:p w14:paraId="4F6E08F3">
            <w:pPr>
              <w:spacing w:line="560" w:lineRule="exact"/>
              <w:rPr>
                <w:rFonts w:hint="eastAsia" w:ascii="宋体" w:hAnsi="宋体" w:eastAsia="宋体" w:cs="宋体"/>
                <w:color w:val="auto"/>
                <w:szCs w:val="21"/>
                <w:highlight w:val="none"/>
              </w:rPr>
            </w:pPr>
          </w:p>
        </w:tc>
      </w:tr>
      <w:tr w14:paraId="7888B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360559A9">
            <w:pPr>
              <w:spacing w:line="560" w:lineRule="exact"/>
              <w:rPr>
                <w:rFonts w:hint="eastAsia" w:ascii="宋体" w:hAnsi="宋体" w:eastAsia="宋体" w:cs="宋体"/>
                <w:color w:val="auto"/>
                <w:szCs w:val="21"/>
                <w:highlight w:val="none"/>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6B71F466">
            <w:pPr>
              <w:spacing w:line="560" w:lineRule="exact"/>
              <w:rPr>
                <w:rFonts w:hint="eastAsia" w:ascii="宋体" w:hAnsi="宋体" w:eastAsia="宋体" w:cs="宋体"/>
                <w:color w:val="auto"/>
                <w:szCs w:val="21"/>
                <w:highlight w:val="none"/>
              </w:rPr>
            </w:pPr>
          </w:p>
        </w:tc>
      </w:tr>
      <w:tr w14:paraId="2C2DE3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3" w:type="dxa"/>
            <w:tcBorders>
              <w:top w:val="single" w:color="auto" w:sz="6" w:space="0"/>
              <w:left w:val="single" w:color="auto" w:sz="4" w:space="0"/>
              <w:bottom w:val="single" w:color="auto" w:sz="6" w:space="0"/>
              <w:right w:val="single" w:color="auto" w:sz="6" w:space="0"/>
            </w:tcBorders>
            <w:noWrap w:val="0"/>
            <w:vAlign w:val="center"/>
          </w:tcPr>
          <w:p w14:paraId="0A78F042">
            <w:pPr>
              <w:spacing w:line="560" w:lineRule="exact"/>
              <w:rPr>
                <w:rFonts w:hint="eastAsia" w:ascii="宋体" w:hAnsi="宋体" w:eastAsia="宋体" w:cs="宋体"/>
                <w:color w:val="auto"/>
                <w:szCs w:val="21"/>
                <w:highlight w:val="none"/>
              </w:rPr>
            </w:pPr>
          </w:p>
        </w:tc>
        <w:tc>
          <w:tcPr>
            <w:tcW w:w="7569" w:type="dxa"/>
            <w:tcBorders>
              <w:top w:val="single" w:color="auto" w:sz="6" w:space="0"/>
              <w:left w:val="single" w:color="auto" w:sz="6" w:space="0"/>
              <w:bottom w:val="single" w:color="auto" w:sz="6" w:space="0"/>
              <w:right w:val="single" w:color="auto" w:sz="6" w:space="0"/>
            </w:tcBorders>
            <w:noWrap w:val="0"/>
            <w:vAlign w:val="center"/>
          </w:tcPr>
          <w:p w14:paraId="1C102625">
            <w:pPr>
              <w:spacing w:line="560" w:lineRule="exact"/>
              <w:rPr>
                <w:rFonts w:hint="eastAsia" w:ascii="宋体" w:hAnsi="宋体" w:eastAsia="宋体" w:cs="宋体"/>
                <w:color w:val="auto"/>
                <w:szCs w:val="21"/>
                <w:highlight w:val="none"/>
              </w:rPr>
            </w:pPr>
          </w:p>
        </w:tc>
      </w:tr>
    </w:tbl>
    <w:p w14:paraId="75D657B0">
      <w:pPr>
        <w:spacing w:line="167" w:lineRule="exact"/>
        <w:rPr>
          <w:rFonts w:hint="eastAsia" w:ascii="宋体" w:hAnsi="宋体" w:eastAsia="宋体" w:cs="宋体"/>
          <w:color w:val="auto"/>
          <w:sz w:val="14"/>
          <w:highlight w:val="none"/>
        </w:rPr>
      </w:pPr>
    </w:p>
    <w:p w14:paraId="147B32FF">
      <w:pPr>
        <w:pageBreakBefore w:val="0"/>
        <w:kinsoku/>
        <w:wordWrap/>
        <w:overflowPunct/>
        <w:topLinePunct w:val="0"/>
        <w:bidi w:val="0"/>
        <w:adjustRightInd w:val="0"/>
        <w:snapToGrid w:val="0"/>
        <w:spacing w:line="360" w:lineRule="auto"/>
        <w:jc w:val="center"/>
        <w:textAlignment w:val="auto"/>
        <w:rPr>
          <w:rFonts w:hint="eastAsia" w:ascii="宋体" w:hAnsi="宋体" w:eastAsia="宋体" w:cs="宋体"/>
          <w:b w:val="0"/>
          <w:bCs w:val="0"/>
          <w:color w:val="auto"/>
          <w:sz w:val="24"/>
          <w:szCs w:val="24"/>
          <w:highlight w:val="none"/>
        </w:rPr>
      </w:pPr>
    </w:p>
    <w:bookmarkEnd w:id="23"/>
    <w:p w14:paraId="0AD13708">
      <w:pPr>
        <w:spacing w:line="360" w:lineRule="auto"/>
        <w:jc w:val="center"/>
        <w:outlineLvl w:val="0"/>
        <w:rPr>
          <w:rFonts w:hint="eastAsia" w:ascii="宋体" w:hAnsi="宋体" w:eastAsia="宋体" w:cs="宋体"/>
          <w:b/>
          <w:color w:val="auto"/>
          <w:sz w:val="28"/>
          <w:highlight w:val="none"/>
        </w:rPr>
      </w:pPr>
      <w:bookmarkStart w:id="158" w:name="_Toc22492"/>
    </w:p>
    <w:p w14:paraId="0C61C630">
      <w:pPr>
        <w:spacing w:line="360" w:lineRule="auto"/>
        <w:jc w:val="center"/>
        <w:outlineLvl w:val="0"/>
        <w:rPr>
          <w:rFonts w:hint="eastAsia" w:ascii="宋体" w:hAnsi="宋体" w:eastAsia="宋体" w:cs="宋体"/>
          <w:b/>
          <w:color w:val="auto"/>
          <w:sz w:val="28"/>
          <w:highlight w:val="none"/>
        </w:rPr>
      </w:pPr>
    </w:p>
    <w:p w14:paraId="7A5CD8C8">
      <w:pPr>
        <w:spacing w:line="360" w:lineRule="auto"/>
        <w:jc w:val="center"/>
        <w:outlineLvl w:val="0"/>
        <w:rPr>
          <w:rFonts w:hint="eastAsia" w:ascii="宋体" w:hAnsi="宋体" w:eastAsia="宋体" w:cs="宋体"/>
          <w:b/>
          <w:color w:val="auto"/>
          <w:sz w:val="28"/>
          <w:highlight w:val="none"/>
        </w:rPr>
      </w:pPr>
    </w:p>
    <w:p w14:paraId="3CF68F19">
      <w:pPr>
        <w:spacing w:line="360" w:lineRule="auto"/>
        <w:jc w:val="center"/>
        <w:outlineLvl w:val="0"/>
        <w:rPr>
          <w:rFonts w:hint="eastAsia" w:ascii="宋体" w:hAnsi="宋体" w:eastAsia="宋体" w:cs="宋体"/>
          <w:b/>
          <w:color w:val="auto"/>
          <w:sz w:val="28"/>
          <w:highlight w:val="none"/>
        </w:rPr>
      </w:pPr>
    </w:p>
    <w:p w14:paraId="5105729D">
      <w:pPr>
        <w:spacing w:line="360" w:lineRule="auto"/>
        <w:jc w:val="center"/>
        <w:outlineLvl w:val="0"/>
        <w:rPr>
          <w:rFonts w:hint="eastAsia" w:ascii="宋体" w:hAnsi="宋体" w:eastAsia="宋体" w:cs="宋体"/>
          <w:b/>
          <w:color w:val="auto"/>
          <w:sz w:val="28"/>
          <w:highlight w:val="none"/>
        </w:rPr>
      </w:pPr>
    </w:p>
    <w:p w14:paraId="72CF0FDC">
      <w:pPr>
        <w:spacing w:line="360" w:lineRule="auto"/>
        <w:jc w:val="center"/>
        <w:outlineLvl w:val="0"/>
        <w:rPr>
          <w:rFonts w:hint="eastAsia" w:ascii="宋体" w:hAnsi="宋体" w:eastAsia="宋体" w:cs="宋体"/>
          <w:b/>
          <w:color w:val="auto"/>
          <w:sz w:val="28"/>
          <w:highlight w:val="none"/>
        </w:rPr>
      </w:pPr>
    </w:p>
    <w:p w14:paraId="1CEB5592">
      <w:pPr>
        <w:spacing w:line="360" w:lineRule="auto"/>
        <w:jc w:val="center"/>
        <w:outlineLvl w:val="0"/>
        <w:rPr>
          <w:rFonts w:hint="eastAsia" w:ascii="宋体" w:hAnsi="宋体" w:eastAsia="宋体" w:cs="宋体"/>
          <w:b/>
          <w:color w:val="auto"/>
          <w:sz w:val="28"/>
          <w:highlight w:val="none"/>
        </w:rPr>
      </w:pPr>
    </w:p>
    <w:p w14:paraId="420917F3">
      <w:pPr>
        <w:spacing w:line="360" w:lineRule="auto"/>
        <w:jc w:val="center"/>
        <w:outlineLvl w:val="0"/>
        <w:rPr>
          <w:rFonts w:hint="eastAsia" w:ascii="宋体" w:hAnsi="宋体" w:eastAsia="宋体" w:cs="宋体"/>
          <w:b/>
          <w:color w:val="auto"/>
          <w:sz w:val="28"/>
          <w:highlight w:val="none"/>
        </w:rPr>
      </w:pPr>
    </w:p>
    <w:p w14:paraId="1686C152">
      <w:pPr>
        <w:spacing w:line="360" w:lineRule="auto"/>
        <w:jc w:val="center"/>
        <w:outlineLvl w:val="0"/>
        <w:rPr>
          <w:rFonts w:hint="eastAsia" w:ascii="宋体" w:hAnsi="宋体" w:eastAsia="宋体" w:cs="宋体"/>
          <w:b/>
          <w:color w:val="auto"/>
          <w:sz w:val="28"/>
          <w:highlight w:val="none"/>
        </w:rPr>
      </w:pPr>
    </w:p>
    <w:p w14:paraId="44158D01">
      <w:pPr>
        <w:spacing w:line="360" w:lineRule="auto"/>
        <w:jc w:val="center"/>
        <w:outlineLvl w:val="0"/>
        <w:rPr>
          <w:rFonts w:hint="eastAsia" w:ascii="宋体" w:hAnsi="宋体" w:eastAsia="宋体" w:cs="宋体"/>
          <w:b/>
          <w:color w:val="auto"/>
          <w:sz w:val="28"/>
          <w:highlight w:val="none"/>
        </w:rPr>
      </w:pPr>
    </w:p>
    <w:p w14:paraId="2E656BEB">
      <w:pPr>
        <w:spacing w:line="360" w:lineRule="auto"/>
        <w:jc w:val="center"/>
        <w:outlineLvl w:val="0"/>
        <w:rPr>
          <w:rFonts w:hint="eastAsia" w:ascii="宋体" w:hAnsi="宋体" w:eastAsia="宋体" w:cs="宋体"/>
          <w:b/>
          <w:color w:val="auto"/>
          <w:sz w:val="28"/>
          <w:highlight w:val="none"/>
        </w:rPr>
      </w:pPr>
    </w:p>
    <w:p w14:paraId="1948C643">
      <w:pPr>
        <w:spacing w:line="360" w:lineRule="auto"/>
        <w:jc w:val="center"/>
        <w:outlineLvl w:val="0"/>
        <w:rPr>
          <w:rFonts w:hint="eastAsia" w:ascii="宋体" w:hAnsi="宋体" w:eastAsia="宋体" w:cs="宋体"/>
          <w:b/>
          <w:color w:val="auto"/>
          <w:sz w:val="28"/>
          <w:highlight w:val="none"/>
        </w:rPr>
      </w:pPr>
    </w:p>
    <w:p w14:paraId="26820FA4">
      <w:pPr>
        <w:spacing w:line="360" w:lineRule="auto"/>
        <w:jc w:val="center"/>
        <w:outlineLvl w:val="0"/>
        <w:rPr>
          <w:rFonts w:hint="eastAsia" w:ascii="宋体" w:hAnsi="宋体" w:eastAsia="宋体" w:cs="宋体"/>
          <w:b/>
          <w:color w:val="auto"/>
          <w:sz w:val="28"/>
          <w:highlight w:val="none"/>
        </w:rPr>
      </w:pPr>
      <w:r>
        <w:rPr>
          <w:rFonts w:hint="eastAsia" w:ascii="宋体" w:hAnsi="宋体" w:eastAsia="宋体" w:cs="宋体"/>
          <w:b/>
          <w:color w:val="auto"/>
          <w:sz w:val="28"/>
          <w:highlight w:val="none"/>
        </w:rPr>
        <w:t>第六章  投标文件格式</w:t>
      </w:r>
      <w:bookmarkEnd w:id="158"/>
    </w:p>
    <w:p w14:paraId="6F01D733">
      <w:pPr>
        <w:spacing w:line="900" w:lineRule="exact"/>
        <w:jc w:val="center"/>
        <w:rPr>
          <w:rFonts w:hint="eastAsia" w:ascii="宋体" w:hAnsi="宋体" w:eastAsia="宋体" w:cs="宋体"/>
          <w:b/>
          <w:color w:val="auto"/>
          <w:sz w:val="72"/>
          <w:highlight w:val="none"/>
        </w:rPr>
      </w:pPr>
    </w:p>
    <w:p w14:paraId="38543885">
      <w:pPr>
        <w:spacing w:line="900" w:lineRule="exact"/>
        <w:jc w:val="center"/>
        <w:outlineLvl w:val="1"/>
        <w:rPr>
          <w:rFonts w:hint="eastAsia" w:ascii="宋体" w:hAnsi="宋体" w:eastAsia="宋体" w:cs="宋体"/>
          <w:b/>
          <w:color w:val="auto"/>
          <w:sz w:val="72"/>
          <w:highlight w:val="none"/>
        </w:rPr>
      </w:pPr>
      <w:bookmarkStart w:id="159" w:name="_Toc651"/>
      <w:r>
        <w:rPr>
          <w:rFonts w:hint="eastAsia" w:ascii="宋体" w:hAnsi="宋体" w:eastAsia="宋体" w:cs="宋体"/>
          <w:b/>
          <w:color w:val="auto"/>
          <w:sz w:val="72"/>
          <w:highlight w:val="none"/>
        </w:rPr>
        <w:t>投</w:t>
      </w:r>
      <w:bookmarkEnd w:id="159"/>
    </w:p>
    <w:p w14:paraId="556CBF89">
      <w:pPr>
        <w:spacing w:line="900" w:lineRule="exact"/>
        <w:jc w:val="center"/>
        <w:rPr>
          <w:rFonts w:hint="eastAsia" w:ascii="宋体" w:hAnsi="宋体" w:eastAsia="宋体" w:cs="宋体"/>
          <w:b/>
          <w:color w:val="auto"/>
          <w:sz w:val="72"/>
          <w:highlight w:val="none"/>
        </w:rPr>
      </w:pPr>
    </w:p>
    <w:p w14:paraId="7B32B97A">
      <w:pPr>
        <w:spacing w:line="900" w:lineRule="exact"/>
        <w:jc w:val="center"/>
        <w:outlineLvl w:val="1"/>
        <w:rPr>
          <w:rFonts w:hint="eastAsia" w:ascii="宋体" w:hAnsi="宋体" w:eastAsia="宋体" w:cs="宋体"/>
          <w:b/>
          <w:color w:val="auto"/>
          <w:sz w:val="72"/>
          <w:highlight w:val="none"/>
        </w:rPr>
      </w:pPr>
      <w:bookmarkStart w:id="160" w:name="_Toc6148"/>
      <w:r>
        <w:rPr>
          <w:rFonts w:hint="eastAsia" w:ascii="宋体" w:hAnsi="宋体" w:eastAsia="宋体" w:cs="宋体"/>
          <w:b/>
          <w:color w:val="auto"/>
          <w:sz w:val="72"/>
          <w:highlight w:val="none"/>
        </w:rPr>
        <w:t>标</w:t>
      </w:r>
      <w:bookmarkEnd w:id="160"/>
    </w:p>
    <w:p w14:paraId="1FDDE5F7">
      <w:pPr>
        <w:spacing w:line="900" w:lineRule="exact"/>
        <w:jc w:val="center"/>
        <w:rPr>
          <w:rFonts w:hint="eastAsia" w:ascii="宋体" w:hAnsi="宋体" w:eastAsia="宋体" w:cs="宋体"/>
          <w:b/>
          <w:color w:val="auto"/>
          <w:sz w:val="72"/>
          <w:highlight w:val="none"/>
        </w:rPr>
      </w:pPr>
    </w:p>
    <w:p w14:paraId="5B42200E">
      <w:pPr>
        <w:spacing w:line="900" w:lineRule="exact"/>
        <w:jc w:val="center"/>
        <w:outlineLvl w:val="1"/>
        <w:rPr>
          <w:rFonts w:hint="eastAsia" w:ascii="宋体" w:hAnsi="宋体" w:eastAsia="宋体" w:cs="宋体"/>
          <w:b/>
          <w:color w:val="auto"/>
          <w:sz w:val="72"/>
          <w:highlight w:val="none"/>
        </w:rPr>
      </w:pPr>
      <w:bookmarkStart w:id="161" w:name="_Toc1338"/>
      <w:r>
        <w:rPr>
          <w:rFonts w:hint="eastAsia" w:ascii="宋体" w:hAnsi="宋体" w:eastAsia="宋体" w:cs="宋体"/>
          <w:b/>
          <w:color w:val="auto"/>
          <w:sz w:val="72"/>
          <w:highlight w:val="none"/>
        </w:rPr>
        <w:t>文</w:t>
      </w:r>
      <w:bookmarkEnd w:id="161"/>
    </w:p>
    <w:p w14:paraId="0FB205A1">
      <w:pPr>
        <w:spacing w:line="900" w:lineRule="exact"/>
        <w:jc w:val="center"/>
        <w:rPr>
          <w:rFonts w:hint="eastAsia" w:ascii="宋体" w:hAnsi="宋体" w:eastAsia="宋体" w:cs="宋体"/>
          <w:b/>
          <w:color w:val="auto"/>
          <w:sz w:val="72"/>
          <w:highlight w:val="none"/>
        </w:rPr>
      </w:pPr>
    </w:p>
    <w:p w14:paraId="6F4188FE">
      <w:pPr>
        <w:jc w:val="center"/>
        <w:outlineLvl w:val="1"/>
        <w:rPr>
          <w:rFonts w:hint="eastAsia" w:ascii="宋体" w:hAnsi="宋体" w:eastAsia="宋体" w:cs="宋体"/>
          <w:b/>
          <w:color w:val="auto"/>
          <w:sz w:val="72"/>
          <w:highlight w:val="none"/>
        </w:rPr>
      </w:pPr>
      <w:bookmarkStart w:id="162" w:name="_Toc10796"/>
      <w:r>
        <w:rPr>
          <w:rFonts w:hint="eastAsia" w:ascii="宋体" w:hAnsi="宋体" w:eastAsia="宋体" w:cs="宋体"/>
          <w:b/>
          <w:color w:val="auto"/>
          <w:sz w:val="72"/>
          <w:highlight w:val="none"/>
        </w:rPr>
        <w:t>件</w:t>
      </w:r>
      <w:bookmarkEnd w:id="162"/>
    </w:p>
    <w:p w14:paraId="7F796F65">
      <w:pPr>
        <w:spacing w:after="156" w:afterLines="50" w:line="500" w:lineRule="exact"/>
        <w:jc w:val="center"/>
        <w:rPr>
          <w:rFonts w:hint="eastAsia" w:ascii="宋体" w:hAnsi="宋体" w:eastAsia="宋体" w:cs="宋体"/>
          <w:b/>
          <w:color w:val="auto"/>
          <w:sz w:val="28"/>
          <w:szCs w:val="28"/>
          <w:highlight w:val="none"/>
        </w:rPr>
      </w:pPr>
    </w:p>
    <w:p w14:paraId="61271EB9">
      <w:pPr>
        <w:pStyle w:val="3"/>
        <w:rPr>
          <w:rFonts w:hint="eastAsia" w:ascii="宋体" w:hAnsi="宋体" w:eastAsia="宋体" w:cs="宋体"/>
          <w:color w:val="auto"/>
          <w:highlight w:val="none"/>
        </w:rPr>
      </w:pPr>
    </w:p>
    <w:p w14:paraId="57A235CF">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cs="宋体"/>
          <w:b/>
          <w:color w:val="auto"/>
          <w:spacing w:val="20"/>
          <w:kern w:val="0"/>
          <w:sz w:val="32"/>
          <w:szCs w:val="32"/>
          <w:highlight w:val="none"/>
          <w:lang w:val="en-US" w:eastAsia="zh-CN"/>
        </w:rPr>
      </w:pPr>
      <w:r>
        <w:rPr>
          <w:rFonts w:hint="eastAsia" w:ascii="宋体" w:hAnsi="宋体" w:eastAsia="宋体" w:cs="宋体"/>
          <w:b/>
          <w:color w:val="auto"/>
          <w:sz w:val="32"/>
          <w:highlight w:val="none"/>
        </w:rPr>
        <w:t>项目名称：</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362BDD6C">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cs="宋体"/>
          <w:b/>
          <w:color w:val="auto"/>
          <w:sz w:val="32"/>
          <w:highlight w:val="none"/>
          <w:u w:val="single"/>
        </w:rPr>
      </w:pPr>
      <w:r>
        <w:rPr>
          <w:rFonts w:hint="eastAsia" w:ascii="宋体" w:hAnsi="宋体" w:eastAsia="宋体" w:cs="宋体"/>
          <w:b/>
          <w:color w:val="auto"/>
          <w:sz w:val="32"/>
          <w:highlight w:val="none"/>
        </w:rPr>
        <w:t>项目编号：</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5510C159">
      <w:pPr>
        <w:tabs>
          <w:tab w:val="left" w:pos="2410"/>
        </w:tabs>
        <w:autoSpaceDE w:val="0"/>
        <w:autoSpaceDN w:val="0"/>
        <w:adjustRightInd w:val="0"/>
        <w:snapToGrid w:val="0"/>
        <w:spacing w:line="360" w:lineRule="auto"/>
        <w:ind w:firstLine="643" w:firstLineChars="200"/>
        <w:jc w:val="both"/>
        <w:outlineLvl w:val="9"/>
        <w:rPr>
          <w:rFonts w:hint="eastAsia" w:ascii="宋体" w:hAnsi="宋体" w:eastAsia="宋体" w:cs="宋体"/>
          <w:b/>
          <w:color w:val="auto"/>
          <w:sz w:val="32"/>
          <w:highlight w:val="none"/>
          <w:u w:val="single"/>
        </w:rPr>
      </w:pPr>
      <w:r>
        <w:rPr>
          <w:rFonts w:hint="eastAsia" w:ascii="宋体" w:hAnsi="宋体" w:eastAsia="宋体" w:cs="宋体"/>
          <w:b/>
          <w:color w:val="auto"/>
          <w:sz w:val="32"/>
          <w:highlight w:val="none"/>
          <w:lang w:val="en-US" w:eastAsia="zh-CN"/>
        </w:rPr>
        <w:t xml:space="preserve">投 </w:t>
      </w:r>
      <w:r>
        <w:rPr>
          <w:rFonts w:hint="eastAsia" w:ascii="宋体" w:hAnsi="宋体" w:eastAsia="宋体" w:cs="宋体"/>
          <w:b/>
          <w:color w:val="auto"/>
          <w:sz w:val="32"/>
          <w:highlight w:val="none"/>
        </w:rPr>
        <w:t>标</w:t>
      </w:r>
      <w:r>
        <w:rPr>
          <w:rFonts w:hint="eastAsia" w:ascii="宋体" w:hAnsi="宋体" w:eastAsia="宋体" w:cs="宋体"/>
          <w:b/>
          <w:color w:val="auto"/>
          <w:sz w:val="32"/>
          <w:highlight w:val="none"/>
          <w:lang w:val="en-US" w:eastAsia="zh-CN"/>
        </w:rPr>
        <w:t xml:space="preserve"> </w:t>
      </w:r>
      <w:r>
        <w:rPr>
          <w:rFonts w:hint="eastAsia" w:ascii="宋体" w:hAnsi="宋体" w:eastAsia="宋体" w:cs="宋体"/>
          <w:b/>
          <w:color w:val="auto"/>
          <w:sz w:val="32"/>
          <w:highlight w:val="none"/>
        </w:rPr>
        <w:t>人：</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p>
    <w:p w14:paraId="2D23044C">
      <w:pPr>
        <w:spacing w:after="156" w:afterLines="50" w:line="500" w:lineRule="exact"/>
        <w:jc w:val="center"/>
        <w:outlineLvl w:val="1"/>
        <w:rPr>
          <w:rFonts w:hint="eastAsia" w:ascii="宋体" w:hAnsi="宋体" w:eastAsia="宋体" w:cs="宋体"/>
          <w:b/>
          <w:color w:val="auto"/>
          <w:sz w:val="32"/>
          <w:highlight w:val="none"/>
        </w:rPr>
      </w:pP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u w:val="single"/>
        </w:rPr>
        <w:t xml:space="preserve"> </w:t>
      </w:r>
      <w:bookmarkStart w:id="163" w:name="_Toc8037"/>
      <w:bookmarkStart w:id="164" w:name="_Toc9994"/>
      <w:r>
        <w:rPr>
          <w:rFonts w:hint="eastAsia" w:ascii="宋体" w:hAnsi="宋体" w:eastAsia="宋体" w:cs="宋体"/>
          <w:b/>
          <w:color w:val="auto"/>
          <w:sz w:val="32"/>
          <w:highlight w:val="none"/>
        </w:rPr>
        <w:t>年</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rPr>
        <w:t>月</w:t>
      </w:r>
      <w:r>
        <w:rPr>
          <w:rFonts w:hint="eastAsia" w:ascii="宋体" w:hAnsi="宋体" w:eastAsia="宋体" w:cs="宋体"/>
          <w:b/>
          <w:color w:val="auto"/>
          <w:sz w:val="32"/>
          <w:highlight w:val="none"/>
          <w:u w:val="single"/>
        </w:rPr>
        <w:t xml:space="preserve">  </w:t>
      </w:r>
      <w:r>
        <w:rPr>
          <w:rFonts w:hint="eastAsia" w:ascii="宋体" w:hAnsi="宋体" w:eastAsia="宋体" w:cs="宋体"/>
          <w:b/>
          <w:color w:val="auto"/>
          <w:sz w:val="32"/>
          <w:highlight w:val="none"/>
          <w:u w:val="single"/>
          <w:lang w:val="en-US" w:eastAsia="zh-CN"/>
        </w:rPr>
        <w:t xml:space="preserve">  </w:t>
      </w:r>
      <w:r>
        <w:rPr>
          <w:rFonts w:hint="eastAsia" w:ascii="宋体" w:hAnsi="宋体" w:eastAsia="宋体" w:cs="宋体"/>
          <w:b/>
          <w:color w:val="auto"/>
          <w:sz w:val="32"/>
          <w:highlight w:val="none"/>
        </w:rPr>
        <w:t>日</w:t>
      </w:r>
      <w:bookmarkEnd w:id="163"/>
      <w:bookmarkEnd w:id="164"/>
    </w:p>
    <w:p w14:paraId="7EB7087D">
      <w:pPr>
        <w:widowControl/>
        <w:jc w:val="left"/>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6072E310">
      <w:pPr>
        <w:widowControl/>
        <w:jc w:val="center"/>
        <w:rPr>
          <w:rFonts w:hint="eastAsia" w:ascii="宋体" w:hAnsi="宋体" w:eastAsia="宋体" w:cs="宋体"/>
          <w:b/>
          <w:color w:val="auto"/>
          <w:sz w:val="28"/>
          <w:highlight w:val="none"/>
          <w:lang w:val="en-US" w:eastAsia="zh-CN"/>
        </w:rPr>
      </w:pPr>
      <w:r>
        <w:rPr>
          <w:rFonts w:hint="eastAsia" w:ascii="宋体" w:hAnsi="宋体" w:eastAsia="宋体" w:cs="宋体"/>
          <w:b/>
          <w:color w:val="auto"/>
          <w:sz w:val="28"/>
          <w:highlight w:val="none"/>
          <w:lang w:val="en-US" w:eastAsia="zh-CN"/>
        </w:rPr>
        <w:t>目录</w:t>
      </w:r>
    </w:p>
    <w:p w14:paraId="38D8362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（1）法定代表人身份证明文件及其有效身份证（或法人代表授权委托书及其有效身份证）；（格式见附件）</w:t>
      </w:r>
    </w:p>
    <w:p w14:paraId="3C215242">
      <w:pPr>
        <w:spacing w:line="360" w:lineRule="auto"/>
        <w:ind w:firstLine="435"/>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（2）供应商须具有有效的营业执照、税务登记证、组织机构代码证（或三证合一的证书）；</w:t>
      </w:r>
    </w:p>
    <w:p w14:paraId="121B21C2">
      <w:pPr>
        <w:spacing w:line="360" w:lineRule="auto"/>
        <w:ind w:firstLine="435"/>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业绩证明材料</w:t>
      </w:r>
      <w:r>
        <w:rPr>
          <w:rFonts w:hint="eastAsia" w:ascii="宋体" w:hAnsi="宋体" w:eastAsia="宋体" w:cs="宋体"/>
          <w:color w:val="auto"/>
          <w:sz w:val="24"/>
          <w:highlight w:val="none"/>
          <w:lang w:val="en-US" w:eastAsia="zh-CN"/>
        </w:rPr>
        <w:t>；</w:t>
      </w:r>
    </w:p>
    <w:p w14:paraId="4AF0FFFA">
      <w:pPr>
        <w:spacing w:line="360" w:lineRule="auto"/>
        <w:ind w:firstLine="435"/>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（4）供应商资格声明书（格式见附件）</w:t>
      </w:r>
    </w:p>
    <w:p w14:paraId="50783036">
      <w:pPr>
        <w:spacing w:line="360" w:lineRule="auto"/>
        <w:ind w:firstLine="435"/>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（5）诚信履约承诺函（格式见附件）</w:t>
      </w:r>
    </w:p>
    <w:p w14:paraId="2F4B8E07">
      <w:pPr>
        <w:spacing w:line="360" w:lineRule="auto"/>
        <w:ind w:firstLine="435"/>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（6）开标一览表（格式见附件）；</w:t>
      </w:r>
    </w:p>
    <w:p w14:paraId="48DFCBE9">
      <w:pPr>
        <w:spacing w:line="360" w:lineRule="auto"/>
        <w:ind w:firstLine="435"/>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（7）投标函（格式见附件）；</w:t>
      </w:r>
    </w:p>
    <w:p w14:paraId="769950CD">
      <w:pPr>
        <w:spacing w:line="360" w:lineRule="auto"/>
        <w:ind w:firstLine="435"/>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（8）投标人认为需要提供的其他评审及证明材料</w:t>
      </w:r>
    </w:p>
    <w:p w14:paraId="7FBBA626">
      <w:pPr>
        <w:spacing w:line="360" w:lineRule="auto"/>
        <w:ind w:firstLine="435"/>
        <w:rPr>
          <w:rFonts w:hint="eastAsia" w:ascii="宋体" w:hAnsi="宋体" w:eastAsia="宋体" w:cs="宋体"/>
          <w:color w:val="auto"/>
          <w:sz w:val="24"/>
          <w:highlight w:val="none"/>
          <w:lang w:val="en-US" w:eastAsia="zh-CN"/>
        </w:rPr>
      </w:pPr>
    </w:p>
    <w:p w14:paraId="43242718">
      <w:pPr>
        <w:spacing w:line="360" w:lineRule="auto"/>
        <w:ind w:firstLine="435"/>
        <w:rPr>
          <w:rFonts w:hint="eastAsia" w:ascii="宋体" w:hAnsi="宋体" w:eastAsia="宋体" w:cs="宋体"/>
          <w:color w:val="auto"/>
          <w:sz w:val="24"/>
          <w:highlight w:val="none"/>
          <w:lang w:val="en-US" w:eastAsia="zh-CN"/>
        </w:rPr>
      </w:pPr>
    </w:p>
    <w:p w14:paraId="5A5AF1F6">
      <w:pPr>
        <w:spacing w:line="360" w:lineRule="auto"/>
        <w:ind w:firstLine="435"/>
        <w:rPr>
          <w:rFonts w:hint="eastAsia" w:ascii="宋体" w:hAnsi="宋体" w:eastAsia="宋体" w:cs="宋体"/>
          <w:color w:val="auto"/>
          <w:sz w:val="24"/>
          <w:highlight w:val="none"/>
          <w:lang w:val="en-US" w:eastAsia="zh-CN"/>
        </w:rPr>
      </w:pPr>
    </w:p>
    <w:p w14:paraId="18962569">
      <w:pPr>
        <w:spacing w:line="360" w:lineRule="auto"/>
        <w:ind w:firstLine="435"/>
        <w:rPr>
          <w:rFonts w:hint="eastAsia" w:ascii="宋体" w:hAnsi="宋体" w:eastAsia="宋体" w:cs="宋体"/>
          <w:color w:val="auto"/>
          <w:sz w:val="24"/>
          <w:highlight w:val="none"/>
          <w:lang w:val="en-US" w:eastAsia="zh-CN"/>
        </w:rPr>
      </w:pPr>
    </w:p>
    <w:p w14:paraId="52E790FC">
      <w:pPr>
        <w:spacing w:line="360" w:lineRule="auto"/>
        <w:ind w:firstLine="435"/>
        <w:rPr>
          <w:rFonts w:hint="eastAsia" w:ascii="宋体" w:hAnsi="宋体" w:eastAsia="宋体" w:cs="宋体"/>
          <w:color w:val="auto"/>
          <w:sz w:val="24"/>
          <w:highlight w:val="none"/>
          <w:lang w:val="en-US" w:eastAsia="zh-CN"/>
        </w:rPr>
      </w:pPr>
    </w:p>
    <w:p w14:paraId="743DE764">
      <w:pPr>
        <w:spacing w:line="360" w:lineRule="auto"/>
        <w:ind w:firstLine="435"/>
        <w:rPr>
          <w:rFonts w:hint="eastAsia" w:ascii="宋体" w:hAnsi="宋体" w:eastAsia="宋体" w:cs="宋体"/>
          <w:color w:val="auto"/>
          <w:sz w:val="24"/>
          <w:highlight w:val="none"/>
          <w:lang w:val="en-US" w:eastAsia="zh-CN"/>
        </w:rPr>
      </w:pPr>
    </w:p>
    <w:p w14:paraId="7347BE39">
      <w:pPr>
        <w:spacing w:line="360" w:lineRule="auto"/>
        <w:ind w:firstLine="435"/>
        <w:rPr>
          <w:rFonts w:hint="eastAsia" w:ascii="宋体" w:hAnsi="宋体" w:eastAsia="宋体" w:cs="宋体"/>
          <w:color w:val="auto"/>
          <w:sz w:val="24"/>
          <w:highlight w:val="none"/>
          <w:lang w:val="en-US" w:eastAsia="zh-CN"/>
        </w:rPr>
      </w:pPr>
    </w:p>
    <w:p w14:paraId="4B80581D">
      <w:pPr>
        <w:spacing w:line="360" w:lineRule="auto"/>
        <w:ind w:firstLine="435"/>
        <w:rPr>
          <w:rFonts w:hint="eastAsia" w:ascii="宋体" w:hAnsi="宋体" w:eastAsia="宋体" w:cs="宋体"/>
          <w:color w:val="auto"/>
          <w:sz w:val="24"/>
          <w:highlight w:val="none"/>
          <w:lang w:val="en-US" w:eastAsia="zh-CN"/>
        </w:rPr>
      </w:pPr>
    </w:p>
    <w:p w14:paraId="716D690B">
      <w:pPr>
        <w:spacing w:line="360" w:lineRule="auto"/>
        <w:ind w:firstLine="435"/>
        <w:rPr>
          <w:rFonts w:hint="eastAsia" w:ascii="宋体" w:hAnsi="宋体" w:eastAsia="宋体" w:cs="宋体"/>
          <w:color w:val="auto"/>
          <w:sz w:val="24"/>
          <w:highlight w:val="none"/>
          <w:lang w:val="en-US" w:eastAsia="zh-CN"/>
        </w:rPr>
      </w:pPr>
    </w:p>
    <w:p w14:paraId="41FDCCC2">
      <w:pPr>
        <w:spacing w:line="360" w:lineRule="auto"/>
        <w:ind w:firstLine="435"/>
        <w:rPr>
          <w:rFonts w:hint="eastAsia" w:ascii="宋体" w:hAnsi="宋体" w:eastAsia="宋体" w:cs="宋体"/>
          <w:color w:val="auto"/>
          <w:sz w:val="24"/>
          <w:highlight w:val="none"/>
          <w:lang w:val="en-US" w:eastAsia="zh-CN"/>
        </w:rPr>
      </w:pPr>
    </w:p>
    <w:p w14:paraId="4F21BAB9">
      <w:pPr>
        <w:spacing w:line="360" w:lineRule="auto"/>
        <w:ind w:firstLine="435"/>
        <w:rPr>
          <w:rFonts w:hint="eastAsia" w:ascii="宋体" w:hAnsi="宋体" w:eastAsia="宋体" w:cs="宋体"/>
          <w:color w:val="auto"/>
          <w:sz w:val="24"/>
          <w:highlight w:val="none"/>
          <w:lang w:val="en-US" w:eastAsia="zh-CN"/>
        </w:rPr>
      </w:pPr>
    </w:p>
    <w:p w14:paraId="74EC317E">
      <w:pPr>
        <w:spacing w:line="360" w:lineRule="auto"/>
        <w:ind w:firstLine="435"/>
        <w:rPr>
          <w:rFonts w:hint="eastAsia" w:ascii="宋体" w:hAnsi="宋体" w:eastAsia="宋体" w:cs="宋体"/>
          <w:color w:val="auto"/>
          <w:sz w:val="24"/>
          <w:highlight w:val="none"/>
          <w:lang w:val="en-US" w:eastAsia="zh-CN"/>
        </w:rPr>
      </w:pPr>
    </w:p>
    <w:p w14:paraId="142F3495">
      <w:pPr>
        <w:spacing w:line="360" w:lineRule="auto"/>
        <w:ind w:firstLine="435"/>
        <w:rPr>
          <w:rFonts w:hint="eastAsia" w:ascii="宋体" w:hAnsi="宋体" w:eastAsia="宋体" w:cs="宋体"/>
          <w:color w:val="auto"/>
          <w:sz w:val="24"/>
          <w:highlight w:val="none"/>
          <w:lang w:val="en-US" w:eastAsia="zh-CN"/>
        </w:rPr>
      </w:pPr>
    </w:p>
    <w:p w14:paraId="6956BBB9">
      <w:pPr>
        <w:spacing w:line="360" w:lineRule="auto"/>
        <w:ind w:firstLine="435"/>
        <w:rPr>
          <w:rFonts w:hint="eastAsia" w:ascii="宋体" w:hAnsi="宋体" w:eastAsia="宋体" w:cs="宋体"/>
          <w:color w:val="auto"/>
          <w:sz w:val="24"/>
          <w:highlight w:val="none"/>
          <w:lang w:val="en-US" w:eastAsia="zh-CN"/>
        </w:rPr>
      </w:pPr>
    </w:p>
    <w:p w14:paraId="7E39A998">
      <w:pPr>
        <w:spacing w:line="360" w:lineRule="auto"/>
        <w:ind w:firstLine="435"/>
        <w:rPr>
          <w:rFonts w:hint="eastAsia" w:ascii="宋体" w:hAnsi="宋体" w:eastAsia="宋体" w:cs="宋体"/>
          <w:color w:val="auto"/>
          <w:sz w:val="24"/>
          <w:highlight w:val="none"/>
          <w:lang w:val="en-US" w:eastAsia="zh-CN"/>
        </w:rPr>
      </w:pPr>
    </w:p>
    <w:p w14:paraId="7504E9F8">
      <w:pPr>
        <w:spacing w:line="360" w:lineRule="auto"/>
        <w:ind w:firstLine="435"/>
        <w:rPr>
          <w:rFonts w:hint="eastAsia" w:ascii="宋体" w:hAnsi="宋体" w:eastAsia="宋体" w:cs="宋体"/>
          <w:color w:val="auto"/>
          <w:sz w:val="24"/>
          <w:highlight w:val="none"/>
          <w:lang w:val="en-US" w:eastAsia="zh-CN"/>
        </w:rPr>
      </w:pPr>
    </w:p>
    <w:p w14:paraId="4B480DB5">
      <w:pPr>
        <w:spacing w:line="360" w:lineRule="auto"/>
        <w:ind w:firstLine="435"/>
        <w:rPr>
          <w:rFonts w:hint="eastAsia" w:ascii="宋体" w:hAnsi="宋体" w:eastAsia="宋体" w:cs="宋体"/>
          <w:color w:val="auto"/>
          <w:sz w:val="24"/>
          <w:highlight w:val="none"/>
          <w:lang w:val="en-US" w:eastAsia="zh-CN"/>
        </w:rPr>
      </w:pPr>
    </w:p>
    <w:p w14:paraId="0F476DEA">
      <w:pPr>
        <w:spacing w:line="360" w:lineRule="auto"/>
        <w:ind w:firstLine="435"/>
        <w:rPr>
          <w:rFonts w:hint="eastAsia" w:ascii="宋体" w:hAnsi="宋体" w:eastAsia="宋体" w:cs="宋体"/>
          <w:color w:val="auto"/>
          <w:sz w:val="24"/>
          <w:highlight w:val="none"/>
          <w:lang w:val="en-US" w:eastAsia="zh-CN"/>
        </w:rPr>
      </w:pPr>
    </w:p>
    <w:p w14:paraId="3DD8E7FC">
      <w:pPr>
        <w:spacing w:line="360" w:lineRule="auto"/>
        <w:ind w:firstLine="435"/>
        <w:rPr>
          <w:rFonts w:hint="eastAsia" w:ascii="宋体" w:hAnsi="宋体" w:eastAsia="宋体" w:cs="宋体"/>
          <w:color w:val="auto"/>
          <w:sz w:val="24"/>
          <w:highlight w:val="none"/>
          <w:lang w:val="en-US" w:eastAsia="zh-CN"/>
        </w:rPr>
      </w:pPr>
    </w:p>
    <w:p w14:paraId="3DC4AE93">
      <w:pPr>
        <w:spacing w:line="360" w:lineRule="auto"/>
        <w:jc w:val="center"/>
        <w:outlineLvl w:val="1"/>
        <w:rPr>
          <w:rFonts w:hint="eastAsia" w:ascii="宋体" w:hAnsi="宋体" w:eastAsia="宋体" w:cs="宋体"/>
          <w:b/>
          <w:color w:val="auto"/>
          <w:sz w:val="24"/>
          <w:highlight w:val="none"/>
        </w:rPr>
      </w:pPr>
      <w:bookmarkStart w:id="165" w:name="_Toc1328"/>
      <w:r>
        <w:rPr>
          <w:rFonts w:hint="eastAsia" w:ascii="宋体" w:hAnsi="宋体" w:eastAsia="宋体" w:cs="宋体"/>
          <w:b/>
          <w:color w:val="auto"/>
          <w:sz w:val="24"/>
          <w:highlight w:val="none"/>
          <w:lang w:val="en-US" w:eastAsia="zh-CN"/>
        </w:rPr>
        <w:t>一．投标人资格声明书</w:t>
      </w:r>
      <w:bookmarkEnd w:id="165"/>
    </w:p>
    <w:p w14:paraId="01957260">
      <w:pPr>
        <w:pStyle w:val="13"/>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lang w:eastAsia="zh-CN"/>
        </w:rPr>
        <w:t>采购人</w:t>
      </w:r>
    </w:p>
    <w:p w14:paraId="1B95EBD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在参与本次项目投标中，我单位承诺：</w:t>
      </w:r>
    </w:p>
    <w:p w14:paraId="41CCF2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（一）具有良好的商业信誉和健全的财务会计制度；</w:t>
      </w:r>
    </w:p>
    <w:p w14:paraId="75C3B45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（二）具有履行合同所必需的设备和专业技术能力；</w:t>
      </w:r>
    </w:p>
    <w:p w14:paraId="7B2451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（三）有依法缴纳税收和社会保障资金的良好记录；</w:t>
      </w:r>
    </w:p>
    <w:p w14:paraId="4F7245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C1EC15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（五）我单位不存在为采购项目提供整体设计、规范编制或者项目管理、监理、检测等服务后，再参加该采购项目的其他采购活动的情形（单一来源采购项目除外）；</w:t>
      </w:r>
    </w:p>
    <w:p w14:paraId="6657813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（六）与我单位存在单位负责人为同一人或者存在直接控股、管理关系的其他法人单位信息如下（如有，不论其是否参加同一合同项下的政府采购活动均须填写）：</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39B7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4BF4B8E">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r>
              <w:rPr>
                <w:rFonts w:hint="eastAsia" w:ascii="宋体" w:hAnsi="宋体" w:eastAsia="宋体" w:cs="宋体"/>
                <w:color w:val="auto"/>
                <w:kern w:val="0"/>
                <w:sz w:val="24"/>
                <w:szCs w:val="24"/>
                <w:highlight w:val="none"/>
                <w:lang w:val="en-US" w:eastAsia="zh-CN"/>
              </w:rPr>
              <w:t>序号</w:t>
            </w:r>
          </w:p>
        </w:tc>
        <w:tc>
          <w:tcPr>
            <w:tcW w:w="2841" w:type="dxa"/>
          </w:tcPr>
          <w:p w14:paraId="0B1E28B8">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r>
              <w:rPr>
                <w:rFonts w:hint="eastAsia" w:ascii="宋体" w:hAnsi="宋体" w:eastAsia="宋体" w:cs="宋体"/>
                <w:color w:val="auto"/>
                <w:kern w:val="0"/>
                <w:sz w:val="24"/>
                <w:szCs w:val="24"/>
                <w:highlight w:val="none"/>
                <w:lang w:val="en-US" w:eastAsia="zh-CN"/>
              </w:rPr>
              <w:t>单位名称</w:t>
            </w:r>
          </w:p>
        </w:tc>
        <w:tc>
          <w:tcPr>
            <w:tcW w:w="2841" w:type="dxa"/>
          </w:tcPr>
          <w:p w14:paraId="524B90FC">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r>
              <w:rPr>
                <w:rFonts w:hint="eastAsia" w:ascii="宋体" w:hAnsi="宋体" w:eastAsia="宋体" w:cs="宋体"/>
                <w:color w:val="auto"/>
                <w:kern w:val="0"/>
                <w:sz w:val="24"/>
                <w:szCs w:val="24"/>
                <w:highlight w:val="none"/>
                <w:lang w:val="en-US" w:eastAsia="zh-CN"/>
              </w:rPr>
              <w:t>相互关系</w:t>
            </w:r>
          </w:p>
        </w:tc>
      </w:tr>
      <w:tr w14:paraId="7C60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0C10A2C">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r>
              <w:rPr>
                <w:rFonts w:hint="eastAsia" w:ascii="宋体" w:hAnsi="宋体" w:eastAsia="宋体" w:cs="宋体"/>
                <w:color w:val="auto"/>
                <w:kern w:val="0"/>
                <w:sz w:val="24"/>
                <w:szCs w:val="24"/>
                <w:highlight w:val="none"/>
                <w:vertAlign w:val="baseline"/>
                <w:lang w:val="en-US" w:eastAsia="zh-CN"/>
              </w:rPr>
              <w:t>1</w:t>
            </w:r>
          </w:p>
        </w:tc>
        <w:tc>
          <w:tcPr>
            <w:tcW w:w="2841" w:type="dxa"/>
          </w:tcPr>
          <w:p w14:paraId="3CC9B9FA">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p>
        </w:tc>
        <w:tc>
          <w:tcPr>
            <w:tcW w:w="2841" w:type="dxa"/>
          </w:tcPr>
          <w:p w14:paraId="454523E8">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p>
        </w:tc>
      </w:tr>
      <w:tr w14:paraId="791C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C170B89">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r>
              <w:rPr>
                <w:rFonts w:hint="eastAsia" w:ascii="宋体" w:hAnsi="宋体" w:eastAsia="宋体" w:cs="宋体"/>
                <w:color w:val="auto"/>
                <w:kern w:val="0"/>
                <w:sz w:val="24"/>
                <w:szCs w:val="24"/>
                <w:highlight w:val="none"/>
                <w:vertAlign w:val="baseline"/>
                <w:lang w:val="en-US" w:eastAsia="zh-CN"/>
              </w:rPr>
              <w:t>2</w:t>
            </w:r>
          </w:p>
        </w:tc>
        <w:tc>
          <w:tcPr>
            <w:tcW w:w="2841" w:type="dxa"/>
          </w:tcPr>
          <w:p w14:paraId="5BF24752">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p>
        </w:tc>
        <w:tc>
          <w:tcPr>
            <w:tcW w:w="2841" w:type="dxa"/>
          </w:tcPr>
          <w:p w14:paraId="72B38ADF">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宋体" w:hAnsi="宋体" w:eastAsia="宋体" w:cs="宋体"/>
                <w:color w:val="auto"/>
                <w:kern w:val="0"/>
                <w:sz w:val="24"/>
                <w:szCs w:val="24"/>
                <w:highlight w:val="none"/>
                <w:vertAlign w:val="baseline"/>
                <w:lang w:val="en-US" w:eastAsia="zh-CN"/>
              </w:rPr>
            </w:pPr>
          </w:p>
        </w:tc>
      </w:tr>
    </w:tbl>
    <w:p w14:paraId="38B9AE3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00D12BAB">
      <w:pPr>
        <w:spacing w:line="360" w:lineRule="auto"/>
        <w:ind w:firstLine="4800" w:firstLineChars="2000"/>
        <w:rPr>
          <w:rFonts w:hint="eastAsia" w:ascii="宋体" w:hAnsi="宋体" w:eastAsia="宋体" w:cs="宋体"/>
          <w:color w:val="auto"/>
          <w:sz w:val="24"/>
          <w:highlight w:val="none"/>
        </w:rPr>
      </w:pPr>
    </w:p>
    <w:p w14:paraId="7104CE85">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bCs/>
          <w:color w:val="auto"/>
          <w:sz w:val="24"/>
          <w:highlight w:val="none"/>
          <w:lang w:val="en-US" w:eastAsia="zh-CN"/>
        </w:rPr>
        <w:t>投标人盖章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24624F18">
      <w:pPr>
        <w:tabs>
          <w:tab w:val="left" w:pos="630"/>
        </w:tabs>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79B0C955">
      <w:pPr>
        <w:pStyle w:val="8"/>
        <w:rPr>
          <w:rFonts w:hint="eastAsia" w:ascii="宋体" w:hAnsi="宋体" w:eastAsia="宋体" w:cs="宋体"/>
          <w:color w:val="auto"/>
          <w:kern w:val="0"/>
          <w:sz w:val="24"/>
          <w:szCs w:val="24"/>
          <w:highlight w:val="none"/>
          <w:lang w:val="en-US" w:eastAsia="zh-CN"/>
        </w:rPr>
      </w:pPr>
    </w:p>
    <w:p w14:paraId="7E727006">
      <w:pPr>
        <w:pStyle w:val="8"/>
        <w:rPr>
          <w:rFonts w:hint="eastAsia" w:ascii="宋体" w:hAnsi="宋体" w:eastAsia="宋体" w:cs="宋体"/>
          <w:color w:val="auto"/>
          <w:kern w:val="0"/>
          <w:sz w:val="24"/>
          <w:szCs w:val="24"/>
          <w:highlight w:val="none"/>
          <w:lang w:val="en-US" w:eastAsia="zh-CN"/>
        </w:rPr>
      </w:pPr>
    </w:p>
    <w:p w14:paraId="16982C85">
      <w:pPr>
        <w:pStyle w:val="8"/>
        <w:rPr>
          <w:rFonts w:hint="eastAsia" w:ascii="宋体" w:hAnsi="宋体" w:eastAsia="宋体" w:cs="宋体"/>
          <w:color w:val="auto"/>
          <w:kern w:val="0"/>
          <w:sz w:val="24"/>
          <w:szCs w:val="24"/>
          <w:highlight w:val="none"/>
          <w:lang w:val="en-US" w:eastAsia="zh-CN"/>
        </w:rPr>
      </w:pPr>
    </w:p>
    <w:p w14:paraId="658A8E08">
      <w:pPr>
        <w:rPr>
          <w:rFonts w:hint="eastAsia" w:ascii="宋体" w:hAnsi="宋体" w:eastAsia="宋体" w:cs="宋体"/>
          <w:b/>
          <w:color w:val="auto"/>
          <w:sz w:val="24"/>
          <w:highlight w:val="none"/>
        </w:rPr>
      </w:pPr>
      <w:bookmarkStart w:id="166" w:name="_Toc11607"/>
      <w:r>
        <w:rPr>
          <w:rFonts w:hint="eastAsia" w:ascii="宋体" w:hAnsi="宋体" w:eastAsia="宋体" w:cs="宋体"/>
          <w:b/>
          <w:color w:val="auto"/>
          <w:sz w:val="24"/>
          <w:highlight w:val="none"/>
        </w:rPr>
        <w:br w:type="page"/>
      </w:r>
    </w:p>
    <w:p w14:paraId="1A860CE9">
      <w:pPr>
        <w:spacing w:line="360" w:lineRule="auto"/>
        <w:jc w:val="center"/>
        <w:outlineLvl w:val="1"/>
        <w:rPr>
          <w:rFonts w:hint="eastAsia" w:ascii="宋体" w:hAnsi="宋体" w:eastAsia="宋体" w:cs="宋体"/>
          <w:b/>
          <w:color w:val="auto"/>
          <w:sz w:val="24"/>
          <w:highlight w:val="none"/>
        </w:rPr>
      </w:pPr>
      <w:bookmarkStart w:id="167" w:name="_Toc16960"/>
      <w:r>
        <w:rPr>
          <w:rFonts w:hint="eastAsia" w:ascii="宋体" w:hAnsi="宋体" w:eastAsia="宋体" w:cs="宋体"/>
          <w:b/>
          <w:color w:val="auto"/>
          <w:sz w:val="24"/>
          <w:highlight w:val="none"/>
          <w:lang w:val="en-US" w:eastAsia="zh-CN"/>
        </w:rPr>
        <w:t>二</w:t>
      </w:r>
      <w:r>
        <w:rPr>
          <w:rFonts w:hint="eastAsia" w:ascii="宋体" w:hAnsi="宋体" w:eastAsia="宋体" w:cs="宋体"/>
          <w:b/>
          <w:color w:val="auto"/>
          <w:sz w:val="24"/>
          <w:highlight w:val="none"/>
        </w:rPr>
        <w:t>、授权书</w:t>
      </w:r>
      <w:bookmarkEnd w:id="166"/>
      <w:bookmarkEnd w:id="167"/>
    </w:p>
    <w:p w14:paraId="3C51FF74">
      <w:pPr>
        <w:pStyle w:val="12"/>
        <w:snapToGrid w:val="0"/>
        <w:spacing w:line="360" w:lineRule="auto"/>
        <w:ind w:firstLine="480" w:firstLineChars="200"/>
        <w:jc w:val="left"/>
        <w:rPr>
          <w:rFonts w:hint="eastAsia" w:ascii="宋体" w:hAnsi="宋体" w:eastAsia="宋体" w:cs="宋体"/>
          <w:color w:val="auto"/>
          <w:sz w:val="24"/>
          <w:szCs w:val="28"/>
          <w:highlight w:val="none"/>
        </w:rPr>
      </w:pPr>
    </w:p>
    <w:p w14:paraId="3D21D01F">
      <w:pPr>
        <w:spacing w:line="360" w:lineRule="auto"/>
        <w:ind w:firstLine="435"/>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w:t>
      </w:r>
      <w:r>
        <w:rPr>
          <w:rFonts w:hint="eastAsia" w:ascii="宋体" w:hAnsi="宋体" w:eastAsia="宋体" w:cs="宋体"/>
          <w:color w:val="auto"/>
          <w:sz w:val="24"/>
          <w:highlight w:val="none"/>
        </w:rPr>
        <w:t>授权</w:t>
      </w:r>
      <w:r>
        <w:rPr>
          <w:rFonts w:hint="eastAsia" w:ascii="宋体" w:hAnsi="宋体" w:eastAsia="宋体" w:cs="宋体"/>
          <w:color w:val="auto"/>
          <w:sz w:val="24"/>
          <w:szCs w:val="28"/>
          <w:highlight w:val="none"/>
        </w:rPr>
        <w:t>书声明：</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（投标人名称）授权</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（投标人授权代表姓名）代表我方参加本项目</w:t>
      </w:r>
      <w:r>
        <w:rPr>
          <w:rFonts w:hint="eastAsia" w:ascii="宋体" w:hAnsi="宋体" w:eastAsia="宋体" w:cs="宋体"/>
          <w:bCs/>
          <w:color w:val="auto"/>
          <w:sz w:val="24"/>
          <w:szCs w:val="28"/>
          <w:highlight w:val="none"/>
        </w:rPr>
        <w:t>采购活动</w:t>
      </w:r>
      <w:r>
        <w:rPr>
          <w:rFonts w:hint="eastAsia" w:ascii="宋体" w:hAnsi="宋体" w:eastAsia="宋体" w:cs="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8707F91">
      <w:pPr>
        <w:spacing w:line="360" w:lineRule="auto"/>
        <w:ind w:firstLine="435"/>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本授权书自出具之日起生效。</w:t>
      </w:r>
    </w:p>
    <w:p w14:paraId="00BF72A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szCs w:val="28"/>
          <w:highlight w:val="none"/>
        </w:rPr>
        <w:t>授权</w:t>
      </w:r>
      <w:r>
        <w:rPr>
          <w:rFonts w:hint="eastAsia" w:ascii="宋体" w:hAnsi="宋体" w:eastAsia="宋体" w:cs="宋体"/>
          <w:color w:val="auto"/>
          <w:sz w:val="24"/>
          <w:highlight w:val="none"/>
        </w:rPr>
        <w:t>代表身份证明扫描件：</w:t>
      </w:r>
    </w:p>
    <w:p w14:paraId="3B2176FC">
      <w:pPr>
        <w:spacing w:line="360" w:lineRule="auto"/>
        <w:ind w:firstLine="435"/>
        <w:rPr>
          <w:rFonts w:hint="eastAsia" w:ascii="宋体" w:hAnsi="宋体" w:eastAsia="宋体" w:cs="宋体"/>
          <w:color w:val="auto"/>
          <w:sz w:val="24"/>
          <w:highlight w:val="none"/>
        </w:rPr>
      </w:pPr>
    </w:p>
    <w:p w14:paraId="2D070F32">
      <w:pPr>
        <w:spacing w:line="360" w:lineRule="auto"/>
        <w:ind w:firstLine="435"/>
        <w:rPr>
          <w:rFonts w:hint="eastAsia" w:ascii="宋体" w:hAnsi="宋体" w:eastAsia="宋体" w:cs="宋体"/>
          <w:color w:val="auto"/>
          <w:sz w:val="24"/>
          <w:highlight w:val="none"/>
        </w:rPr>
      </w:pPr>
    </w:p>
    <w:p w14:paraId="76BF15CF">
      <w:pPr>
        <w:spacing w:line="360" w:lineRule="auto"/>
        <w:ind w:firstLine="435"/>
        <w:rPr>
          <w:rFonts w:hint="eastAsia" w:ascii="宋体" w:hAnsi="宋体" w:eastAsia="宋体" w:cs="宋体"/>
          <w:color w:val="auto"/>
          <w:sz w:val="24"/>
          <w:highlight w:val="none"/>
        </w:rPr>
      </w:pPr>
    </w:p>
    <w:p w14:paraId="14967361">
      <w:pPr>
        <w:spacing w:line="360" w:lineRule="auto"/>
        <w:ind w:firstLine="435"/>
        <w:rPr>
          <w:rFonts w:hint="eastAsia" w:ascii="宋体" w:hAnsi="宋体" w:eastAsia="宋体" w:cs="宋体"/>
          <w:color w:val="auto"/>
          <w:sz w:val="24"/>
          <w:szCs w:val="28"/>
          <w:highlight w:val="none"/>
          <w:u w:val="single"/>
          <w:lang w:val="zh-CN"/>
        </w:rPr>
      </w:pPr>
      <w:r>
        <w:rPr>
          <w:rFonts w:hint="eastAsia" w:ascii="宋体" w:hAnsi="宋体" w:eastAsia="宋体" w:cs="宋体"/>
          <w:color w:val="auto"/>
          <w:sz w:val="24"/>
          <w:szCs w:val="28"/>
          <w:highlight w:val="none"/>
        </w:rPr>
        <w:t>授权代表联系方式：</w:t>
      </w:r>
      <w:r>
        <w:rPr>
          <w:rFonts w:hint="eastAsia" w:ascii="宋体" w:hAnsi="宋体" w:eastAsia="宋体" w:cs="宋体"/>
          <w:color w:val="auto"/>
          <w:sz w:val="24"/>
          <w:szCs w:val="28"/>
          <w:highlight w:val="none"/>
          <w:u w:val="single"/>
        </w:rPr>
        <w:t xml:space="preserve">          （请填写手机号码）</w:t>
      </w:r>
    </w:p>
    <w:p w14:paraId="1A09CB5F">
      <w:pPr>
        <w:spacing w:line="360" w:lineRule="auto"/>
        <w:ind w:firstLine="435"/>
        <w:rPr>
          <w:rFonts w:hint="eastAsia" w:ascii="宋体" w:hAnsi="宋体" w:eastAsia="宋体" w:cs="宋体"/>
          <w:color w:val="auto"/>
          <w:sz w:val="24"/>
          <w:szCs w:val="28"/>
          <w:highlight w:val="none"/>
          <w:lang w:val="zh-CN"/>
        </w:rPr>
      </w:pPr>
    </w:p>
    <w:p w14:paraId="6A6BAE06">
      <w:pPr>
        <w:spacing w:line="360" w:lineRule="auto"/>
        <w:ind w:firstLine="435"/>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特此</w:t>
      </w:r>
      <w:r>
        <w:rPr>
          <w:rFonts w:hint="eastAsia" w:ascii="宋体" w:hAnsi="宋体" w:eastAsia="宋体" w:cs="宋体"/>
          <w:color w:val="auto"/>
          <w:sz w:val="24"/>
          <w:szCs w:val="28"/>
          <w:highlight w:val="none"/>
        </w:rPr>
        <w:t>声明。</w:t>
      </w:r>
    </w:p>
    <w:p w14:paraId="34B13E54">
      <w:pPr>
        <w:spacing w:line="360" w:lineRule="auto"/>
        <w:rPr>
          <w:rFonts w:hint="eastAsia" w:ascii="宋体" w:hAnsi="宋体" w:eastAsia="宋体" w:cs="宋体"/>
          <w:color w:val="auto"/>
          <w:sz w:val="24"/>
          <w:szCs w:val="28"/>
          <w:highlight w:val="none"/>
        </w:rPr>
      </w:pPr>
    </w:p>
    <w:p w14:paraId="637C119C">
      <w:pPr>
        <w:spacing w:line="360" w:lineRule="auto"/>
        <w:ind w:firstLine="4800" w:firstLineChars="2000"/>
        <w:rPr>
          <w:rFonts w:hint="eastAsia" w:ascii="宋体" w:hAnsi="宋体" w:eastAsia="宋体" w:cs="宋体"/>
          <w:color w:val="auto"/>
          <w:sz w:val="24"/>
          <w:highlight w:val="none"/>
        </w:rPr>
      </w:pPr>
      <w:r>
        <w:rPr>
          <w:rFonts w:hint="eastAsia" w:ascii="宋体" w:hAnsi="宋体" w:eastAsia="宋体" w:cs="宋体"/>
          <w:bCs/>
          <w:color w:val="auto"/>
          <w:sz w:val="24"/>
          <w:szCs w:val="28"/>
          <w:highlight w:val="none"/>
          <w:lang w:val="en-US" w:eastAsia="zh-CN"/>
        </w:rPr>
        <w:t xml:space="preserve">                               </w:t>
      </w:r>
    </w:p>
    <w:p w14:paraId="60C9AF5D">
      <w:pPr>
        <w:spacing w:line="360" w:lineRule="auto"/>
        <w:ind w:firstLine="435"/>
        <w:jc w:val="center"/>
        <w:rPr>
          <w:rFonts w:hint="eastAsia" w:ascii="宋体" w:hAnsi="宋体" w:eastAsia="宋体" w:cs="宋体"/>
          <w:bCs/>
          <w:color w:val="auto"/>
          <w:sz w:val="24"/>
          <w:szCs w:val="28"/>
          <w:highlight w:val="none"/>
        </w:rPr>
      </w:pPr>
      <w:r>
        <w:rPr>
          <w:rFonts w:hint="eastAsia" w:ascii="宋体" w:hAnsi="宋体" w:eastAsia="宋体" w:cs="宋体"/>
          <w:bCs/>
          <w:color w:val="auto"/>
          <w:sz w:val="24"/>
          <w:highlight w:val="none"/>
          <w:lang w:val="en-US" w:eastAsia="zh-CN"/>
        </w:rPr>
        <w:t xml:space="preserve">                     投标人盖章  </w:t>
      </w:r>
      <w:r>
        <w:rPr>
          <w:rFonts w:hint="eastAsia" w:ascii="宋体" w:hAnsi="宋体" w:eastAsia="宋体" w:cs="宋体"/>
          <w:bCs/>
          <w:color w:val="auto"/>
          <w:sz w:val="24"/>
          <w:szCs w:val="28"/>
          <w:highlight w:val="none"/>
        </w:rPr>
        <w:t>：</w:t>
      </w:r>
      <w:r>
        <w:rPr>
          <w:rFonts w:hint="eastAsia" w:ascii="宋体" w:hAnsi="宋体" w:eastAsia="宋体" w:cs="宋体"/>
          <w:bCs/>
          <w:color w:val="auto"/>
          <w:sz w:val="24"/>
          <w:szCs w:val="28"/>
          <w:highlight w:val="none"/>
          <w:u w:val="single"/>
        </w:rPr>
        <w:t xml:space="preserve">                    </w:t>
      </w:r>
    </w:p>
    <w:p w14:paraId="67626BA3">
      <w:pPr>
        <w:spacing w:line="360" w:lineRule="auto"/>
        <w:ind w:firstLine="435"/>
        <w:jc w:val="center"/>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lang w:val="en-US" w:eastAsia="zh-CN"/>
        </w:rPr>
        <w:t xml:space="preserve">                            </w:t>
      </w:r>
      <w:r>
        <w:rPr>
          <w:rFonts w:hint="eastAsia" w:ascii="宋体" w:hAnsi="宋体" w:eastAsia="宋体" w:cs="宋体"/>
          <w:color w:val="auto"/>
          <w:sz w:val="24"/>
          <w:szCs w:val="28"/>
          <w:highlight w:val="none"/>
        </w:rPr>
        <w:t>日          期：</w:t>
      </w:r>
      <w:r>
        <w:rPr>
          <w:rFonts w:hint="eastAsia" w:ascii="宋体" w:hAnsi="宋体" w:eastAsia="宋体" w:cs="宋体"/>
          <w:b/>
          <w:bCs/>
          <w:color w:val="auto"/>
          <w:sz w:val="24"/>
          <w:szCs w:val="28"/>
          <w:highlight w:val="none"/>
          <w:u w:val="single"/>
        </w:rPr>
        <w:t xml:space="preserve">                    </w:t>
      </w:r>
    </w:p>
    <w:p w14:paraId="6FF5999E">
      <w:pPr>
        <w:spacing w:line="360" w:lineRule="auto"/>
        <w:ind w:firstLine="435"/>
        <w:rPr>
          <w:rFonts w:hint="eastAsia" w:ascii="宋体" w:hAnsi="宋体" w:eastAsia="宋体" w:cs="宋体"/>
          <w:color w:val="auto"/>
          <w:sz w:val="24"/>
          <w:highlight w:val="none"/>
        </w:rPr>
      </w:pPr>
    </w:p>
    <w:p w14:paraId="13074CDD">
      <w:pPr>
        <w:spacing w:line="360" w:lineRule="auto"/>
        <w:ind w:firstLine="435"/>
        <w:rPr>
          <w:rFonts w:hint="eastAsia" w:ascii="宋体" w:hAnsi="宋体" w:eastAsia="宋体" w:cs="宋体"/>
          <w:color w:val="auto"/>
          <w:sz w:val="24"/>
          <w:highlight w:val="none"/>
        </w:rPr>
      </w:pPr>
    </w:p>
    <w:p w14:paraId="3BF67E0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45110ED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1.本项目只允许有唯一的投标人授权代表，提供身份证明扫描件；</w:t>
      </w:r>
    </w:p>
    <w:p w14:paraId="206D2521">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2.法定代表人参加投标的无需提供授权书，提供身份证明扫描件。</w:t>
      </w:r>
    </w:p>
    <w:p w14:paraId="16B94071">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p w14:paraId="2847B871">
      <w:pPr>
        <w:spacing w:line="360" w:lineRule="auto"/>
        <w:jc w:val="center"/>
        <w:outlineLvl w:val="1"/>
        <w:rPr>
          <w:rFonts w:hint="eastAsia" w:ascii="宋体" w:hAnsi="宋体" w:eastAsia="宋体" w:cs="宋体"/>
          <w:b/>
          <w:color w:val="auto"/>
          <w:sz w:val="24"/>
          <w:highlight w:val="none"/>
          <w:lang w:val="en-US" w:eastAsia="zh-CN"/>
        </w:rPr>
      </w:pPr>
      <w:bookmarkStart w:id="168" w:name="_Toc520299348"/>
      <w:bookmarkStart w:id="169" w:name="_Toc457768004"/>
      <w:bookmarkStart w:id="170" w:name="_Toc300210382"/>
      <w:bookmarkStart w:id="171" w:name="_Toc26536"/>
      <w:bookmarkStart w:id="172" w:name="_Toc25813"/>
      <w:bookmarkStart w:id="173" w:name="_Hlk11701496"/>
      <w:r>
        <w:rPr>
          <w:rFonts w:hint="eastAsia" w:ascii="宋体" w:hAnsi="宋体" w:eastAsia="宋体" w:cs="宋体"/>
          <w:b/>
          <w:color w:val="auto"/>
          <w:sz w:val="24"/>
          <w:highlight w:val="none"/>
          <w:lang w:val="en-US" w:eastAsia="zh-CN"/>
        </w:rPr>
        <w:t>三、</w:t>
      </w:r>
      <w:bookmarkEnd w:id="168"/>
      <w:bookmarkEnd w:id="169"/>
      <w:bookmarkEnd w:id="170"/>
      <w:r>
        <w:rPr>
          <w:rFonts w:hint="eastAsia" w:ascii="宋体" w:hAnsi="宋体" w:eastAsia="宋体" w:cs="宋体"/>
          <w:b/>
          <w:color w:val="auto"/>
          <w:sz w:val="24"/>
          <w:highlight w:val="none"/>
          <w:lang w:val="en-US" w:eastAsia="zh-CN"/>
        </w:rPr>
        <w:t>诚信履约承诺函</w:t>
      </w:r>
      <w:bookmarkEnd w:id="171"/>
      <w:bookmarkEnd w:id="172"/>
    </w:p>
    <w:p w14:paraId="63FD0C56">
      <w:pPr>
        <w:spacing w:line="360" w:lineRule="auto"/>
        <w:rPr>
          <w:rFonts w:hint="eastAsia" w:ascii="宋体" w:hAnsi="宋体" w:eastAsia="宋体" w:cs="宋体"/>
          <w:b/>
          <w:bCs/>
          <w:color w:val="auto"/>
          <w:sz w:val="24"/>
          <w:highlight w:val="none"/>
        </w:rPr>
      </w:pPr>
    </w:p>
    <w:p w14:paraId="2B412825">
      <w:pPr>
        <w:spacing w:line="360" w:lineRule="auto"/>
        <w:rPr>
          <w:rFonts w:hint="eastAsia" w:ascii="宋体" w:hAnsi="宋体" w:eastAsia="宋体" w:cs="宋体"/>
          <w:b/>
          <w:bCs/>
          <w:color w:val="auto"/>
          <w:sz w:val="24"/>
          <w:highlight w:val="none"/>
          <w:u w:val="single"/>
          <w:lang w:eastAsia="zh-CN"/>
        </w:rPr>
      </w:pPr>
      <w:r>
        <w:rPr>
          <w:rFonts w:hint="eastAsia" w:ascii="宋体" w:hAnsi="宋体" w:eastAsia="宋体" w:cs="宋体"/>
          <w:b/>
          <w:bCs/>
          <w:color w:val="auto"/>
          <w:sz w:val="24"/>
          <w:highlight w:val="none"/>
        </w:rPr>
        <w:t>致：</w:t>
      </w:r>
      <w:r>
        <w:rPr>
          <w:rFonts w:hint="eastAsia" w:ascii="宋体" w:hAnsi="宋体" w:eastAsia="宋体" w:cs="宋体"/>
          <w:b/>
          <w:bCs/>
          <w:color w:val="auto"/>
          <w:sz w:val="24"/>
          <w:highlight w:val="none"/>
          <w:u w:val="none"/>
          <w:lang w:eastAsia="zh-CN"/>
        </w:rPr>
        <w:t>采购人</w:t>
      </w:r>
    </w:p>
    <w:p w14:paraId="6BA3D8FE">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1EE931A5">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（1）中标或者成交后无正当理由拒不与采购人签订政府采购合同；</w:t>
      </w:r>
    </w:p>
    <w:p w14:paraId="72A77AB9">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（2）未按照采购文件确定的事项签订政府采购合同；</w:t>
      </w:r>
    </w:p>
    <w:p w14:paraId="430E4B7F">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（3）将政府采购合同转包；</w:t>
      </w:r>
    </w:p>
    <w:p w14:paraId="04778CC6">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（4）提供假冒伪劣产品；</w:t>
      </w:r>
    </w:p>
    <w:p w14:paraId="62C4C4F5">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（5）擅自变更、中止或者终止政府采购合同。</w:t>
      </w:r>
    </w:p>
    <w:p w14:paraId="6E97CD88">
      <w:pPr>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9BA5447">
      <w:pPr>
        <w:spacing w:line="360" w:lineRule="auto"/>
        <w:rPr>
          <w:rFonts w:hint="eastAsia" w:ascii="宋体" w:hAnsi="宋体" w:eastAsia="宋体" w:cs="宋体"/>
          <w:bCs/>
          <w:color w:val="auto"/>
          <w:sz w:val="24"/>
          <w:highlight w:val="none"/>
        </w:rPr>
      </w:pPr>
    </w:p>
    <w:p w14:paraId="568BEA82">
      <w:pPr>
        <w:spacing w:line="360" w:lineRule="auto"/>
        <w:rPr>
          <w:rFonts w:hint="eastAsia" w:ascii="宋体" w:hAnsi="宋体" w:eastAsia="宋体" w:cs="宋体"/>
          <w:bCs/>
          <w:color w:val="auto"/>
          <w:sz w:val="24"/>
          <w:highlight w:val="none"/>
        </w:rPr>
      </w:pPr>
    </w:p>
    <w:p w14:paraId="73180CD2">
      <w:pPr>
        <w:spacing w:line="360" w:lineRule="auto"/>
        <w:ind w:firstLine="4320" w:firstLineChars="180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投标人</w:t>
      </w:r>
      <w:r>
        <w:rPr>
          <w:rFonts w:hint="eastAsia" w:ascii="宋体" w:hAnsi="宋体" w:eastAsia="宋体" w:cs="宋体"/>
          <w:bCs/>
          <w:color w:val="auto"/>
          <w:sz w:val="24"/>
          <w:highlight w:val="none"/>
          <w:lang w:val="en-US" w:eastAsia="zh-CN"/>
        </w:rPr>
        <w:t>盖章</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u w:val="single"/>
        </w:rPr>
        <w:t xml:space="preserve">             </w:t>
      </w:r>
    </w:p>
    <w:p w14:paraId="2B8434C6">
      <w:pPr>
        <w:spacing w:line="360" w:lineRule="auto"/>
        <w:ind w:firstLine="4320" w:firstLineChars="18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日          期：</w:t>
      </w:r>
      <w:r>
        <w:rPr>
          <w:rFonts w:hint="eastAsia" w:ascii="宋体" w:hAnsi="宋体" w:eastAsia="宋体" w:cs="宋体"/>
          <w:bCs/>
          <w:color w:val="auto"/>
          <w:sz w:val="24"/>
          <w:highlight w:val="none"/>
          <w:u w:val="single"/>
        </w:rPr>
        <w:t xml:space="preserve">             </w:t>
      </w:r>
    </w:p>
    <w:p w14:paraId="3F5C7703">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p>
    <w:bookmarkEnd w:id="173"/>
    <w:p w14:paraId="7B7C5FF1">
      <w:pPr>
        <w:spacing w:line="360" w:lineRule="auto"/>
        <w:jc w:val="center"/>
        <w:outlineLvl w:val="1"/>
        <w:rPr>
          <w:rFonts w:hint="eastAsia" w:ascii="宋体" w:hAnsi="宋体" w:eastAsia="宋体" w:cs="宋体"/>
          <w:b/>
          <w:color w:val="auto"/>
          <w:sz w:val="24"/>
          <w:highlight w:val="none"/>
        </w:rPr>
      </w:pPr>
      <w:bookmarkStart w:id="174" w:name="_Toc6441"/>
      <w:bookmarkStart w:id="175" w:name="_Toc18010"/>
      <w:bookmarkStart w:id="176" w:name="_Toc18131"/>
      <w:bookmarkStart w:id="177" w:name="_Toc6435"/>
      <w:r>
        <w:rPr>
          <w:rFonts w:hint="eastAsia" w:ascii="宋体" w:hAnsi="宋体" w:eastAsia="宋体" w:cs="宋体"/>
          <w:b/>
          <w:color w:val="auto"/>
          <w:sz w:val="24"/>
          <w:highlight w:val="none"/>
          <w:lang w:val="en-US" w:eastAsia="zh-CN"/>
        </w:rPr>
        <w:t>四、</w:t>
      </w:r>
      <w:r>
        <w:rPr>
          <w:rFonts w:hint="eastAsia" w:ascii="宋体" w:hAnsi="宋体" w:eastAsia="宋体" w:cs="宋体"/>
          <w:b/>
          <w:color w:val="auto"/>
          <w:sz w:val="24"/>
          <w:highlight w:val="none"/>
        </w:rPr>
        <w:t>开标一览表</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4"/>
        <w:gridCol w:w="7268"/>
      </w:tblGrid>
      <w:tr w14:paraId="2392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50CB5FCA">
            <w:pPr>
              <w:keepNext w:val="0"/>
              <w:keepLines w:val="0"/>
              <w:widowControl/>
              <w:suppressLineNumbers w:val="0"/>
              <w:spacing w:before="0" w:beforeAutospacing="0" w:after="0" w:afterAutospacing="0" w:line="360" w:lineRule="exact"/>
              <w:ind w:left="0" w:right="0"/>
              <w:jc w:val="center"/>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项目名称</w:t>
            </w:r>
          </w:p>
        </w:tc>
        <w:tc>
          <w:tcPr>
            <w:tcW w:w="3648" w:type="pct"/>
            <w:tcBorders>
              <w:top w:val="single" w:color="auto" w:sz="4" w:space="0"/>
              <w:bottom w:val="single" w:color="auto" w:sz="4" w:space="0"/>
              <w:right w:val="single" w:color="auto" w:sz="4" w:space="0"/>
            </w:tcBorders>
            <w:vAlign w:val="center"/>
          </w:tcPr>
          <w:p w14:paraId="264E7EC7">
            <w:pPr>
              <w:keepNext w:val="0"/>
              <w:keepLines w:val="0"/>
              <w:suppressLineNumbers w:val="0"/>
              <w:spacing w:before="0" w:beforeAutospacing="0" w:after="0" w:afterAutospacing="0" w:line="360" w:lineRule="exact"/>
              <w:ind w:left="0" w:right="0"/>
              <w:jc w:val="center"/>
              <w:rPr>
                <w:rFonts w:hint="eastAsia" w:ascii="宋体" w:hAnsi="宋体" w:eastAsia="宋体" w:cs="宋体"/>
                <w:bCs/>
                <w:color w:val="auto"/>
                <w:sz w:val="24"/>
                <w:szCs w:val="20"/>
                <w:highlight w:val="none"/>
                <w:u w:val="single"/>
              </w:rPr>
            </w:pPr>
          </w:p>
        </w:tc>
      </w:tr>
      <w:tr w14:paraId="4A50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20DCC974">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投标人全称</w:t>
            </w:r>
          </w:p>
        </w:tc>
        <w:tc>
          <w:tcPr>
            <w:tcW w:w="3648" w:type="pct"/>
            <w:tcBorders>
              <w:top w:val="nil"/>
            </w:tcBorders>
            <w:vAlign w:val="center"/>
          </w:tcPr>
          <w:p w14:paraId="5AF370A1">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0"/>
                <w:highlight w:val="none"/>
              </w:rPr>
            </w:pPr>
          </w:p>
        </w:tc>
      </w:tr>
      <w:tr w14:paraId="666F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5CEFDA9">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投标范围</w:t>
            </w:r>
          </w:p>
        </w:tc>
        <w:tc>
          <w:tcPr>
            <w:tcW w:w="3648" w:type="pct"/>
            <w:tcBorders>
              <w:top w:val="nil"/>
            </w:tcBorders>
            <w:vAlign w:val="center"/>
          </w:tcPr>
          <w:p w14:paraId="0FE9F18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8"/>
                <w:highlight w:val="none"/>
              </w:rPr>
              <w:t>全部/第</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包</w:t>
            </w:r>
          </w:p>
        </w:tc>
      </w:tr>
      <w:tr w14:paraId="6C32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3BE61139">
            <w:pPr>
              <w:keepNext w:val="0"/>
              <w:keepLines w:val="0"/>
              <w:suppressLineNumbers w:val="0"/>
              <w:spacing w:before="0" w:beforeAutospacing="0" w:after="0" w:afterAutospacing="0" w:line="360" w:lineRule="exact"/>
              <w:ind w:left="0" w:right="0"/>
              <w:jc w:val="center"/>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投标报价</w:t>
            </w:r>
          </w:p>
        </w:tc>
        <w:tc>
          <w:tcPr>
            <w:tcW w:w="3648" w:type="pct"/>
            <w:tcBorders>
              <w:top w:val="nil"/>
            </w:tcBorders>
            <w:vAlign w:val="center"/>
          </w:tcPr>
          <w:p w14:paraId="7260372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2C59422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auto"/>
              <w:ind w:left="0" w:right="-670"/>
              <w:textAlignment w:val="auto"/>
              <w:rPr>
                <w:rFonts w:hint="eastAsia" w:ascii="宋体" w:hAnsi="宋体" w:eastAsia="宋体" w:cs="宋体"/>
                <w:color w:val="auto"/>
                <w:sz w:val="24"/>
                <w:szCs w:val="20"/>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p>
        </w:tc>
      </w:tr>
      <w:tr w14:paraId="1B07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0E844F5">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其他</w:t>
            </w:r>
          </w:p>
        </w:tc>
        <w:tc>
          <w:tcPr>
            <w:tcW w:w="3648" w:type="pct"/>
            <w:tcBorders>
              <w:top w:val="nil"/>
            </w:tcBorders>
            <w:vAlign w:val="center"/>
          </w:tcPr>
          <w:p w14:paraId="43239739">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8"/>
                <w:highlight w:val="none"/>
              </w:rPr>
            </w:pPr>
          </w:p>
        </w:tc>
      </w:tr>
    </w:tbl>
    <w:p w14:paraId="080C62EA">
      <w:pPr>
        <w:spacing w:line="360" w:lineRule="auto"/>
        <w:ind w:firstLine="4320" w:firstLineChars="1800"/>
        <w:jc w:val="center"/>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lang w:val="en-US" w:eastAsia="zh-CN"/>
        </w:rPr>
        <w:t>投标人盖章</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u w:val="single"/>
        </w:rPr>
        <w:t xml:space="preserve">             </w:t>
      </w:r>
    </w:p>
    <w:p w14:paraId="6AED1872">
      <w:pPr>
        <w:spacing w:line="360" w:lineRule="auto"/>
        <w:ind w:firstLine="4320" w:firstLineChars="1800"/>
        <w:jc w:val="center"/>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日      期：</w:t>
      </w:r>
      <w:r>
        <w:rPr>
          <w:rFonts w:hint="eastAsia" w:ascii="宋体" w:hAnsi="宋体" w:eastAsia="宋体" w:cs="宋体"/>
          <w:bCs/>
          <w:color w:val="auto"/>
          <w:sz w:val="24"/>
          <w:highlight w:val="none"/>
          <w:u w:val="single"/>
        </w:rPr>
        <w:t xml:space="preserve">             </w:t>
      </w:r>
    </w:p>
    <w:p w14:paraId="064F1FE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023CE853">
      <w:pPr>
        <w:spacing w:line="360" w:lineRule="auto"/>
        <w:ind w:firstLine="360" w:firstLineChars="150"/>
        <w:rPr>
          <w:rFonts w:hint="eastAsia" w:ascii="宋体" w:hAnsi="宋体" w:eastAsia="宋体" w:cs="宋体"/>
          <w:color w:val="auto"/>
          <w:sz w:val="24"/>
          <w:highlight w:val="none"/>
        </w:rPr>
      </w:pPr>
    </w:p>
    <w:p w14:paraId="7C33BAAC">
      <w:pPr>
        <w:spacing w:line="360" w:lineRule="auto"/>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eastAsia="zh-CN"/>
        </w:rPr>
        <w:t>注：</w:t>
      </w:r>
    </w:p>
    <w:p w14:paraId="4E37B36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1.此表用于开标唱标之用。</w:t>
      </w:r>
    </w:p>
    <w:p w14:paraId="64F8DB7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2.表中投标报价即为优惠后报价，并作为评审及定标依据。任何有选择或有条件的投标报价，或者表中某一包别填写多个报价，均为无效报价。</w:t>
      </w:r>
    </w:p>
    <w:p w14:paraId="14BF6615">
      <w:pPr>
        <w:spacing w:line="360" w:lineRule="auto"/>
        <w:ind w:firstLine="480" w:firstLineChars="200"/>
        <w:jc w:val="both"/>
        <w:outlineLvl w:val="0"/>
        <w:rPr>
          <w:rFonts w:hint="eastAsia" w:ascii="宋体" w:hAnsi="宋体" w:eastAsia="宋体" w:cs="宋体"/>
          <w:b/>
          <w:color w:val="auto"/>
          <w:sz w:val="28"/>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.表中大写金额与小写金额不一致的，以大写金额为准。</w:t>
      </w:r>
      <w:r>
        <w:rPr>
          <w:rFonts w:hint="eastAsia" w:ascii="宋体" w:hAnsi="宋体" w:eastAsia="宋体" w:cs="宋体"/>
          <w:color w:val="auto"/>
          <w:sz w:val="24"/>
          <w:highlight w:val="none"/>
        </w:rPr>
        <w:br w:type="page"/>
      </w:r>
    </w:p>
    <w:p w14:paraId="6F533828">
      <w:pPr>
        <w:spacing w:line="360" w:lineRule="auto"/>
        <w:jc w:val="center"/>
        <w:outlineLvl w:val="1"/>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五</w:t>
      </w:r>
      <w:r>
        <w:rPr>
          <w:rFonts w:hint="eastAsia" w:ascii="宋体" w:hAnsi="宋体" w:eastAsia="宋体" w:cs="宋体"/>
          <w:b/>
          <w:color w:val="auto"/>
          <w:sz w:val="24"/>
          <w:highlight w:val="none"/>
        </w:rPr>
        <w:t>、投标函</w:t>
      </w:r>
    </w:p>
    <w:p w14:paraId="137B4C66">
      <w:pPr>
        <w:pStyle w:val="13"/>
        <w:spacing w:line="360" w:lineRule="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lang w:eastAsia="zh-CN"/>
        </w:rPr>
        <w:t>采购人</w:t>
      </w:r>
    </w:p>
    <w:p w14:paraId="4A523BB0">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根据贵方的招标公告和投标邀请，我方兹宣布同意如下：</w:t>
      </w:r>
    </w:p>
    <w:p w14:paraId="1065715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3EA5442C">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.我方已详细审核全部招标文件，包括招标文件</w:t>
      </w:r>
      <w:r>
        <w:rPr>
          <w:rFonts w:hint="eastAsia" w:ascii="宋体" w:hAnsi="宋体" w:eastAsia="宋体" w:cs="宋体"/>
          <w:color w:val="auto"/>
          <w:sz w:val="24"/>
          <w:highlight w:val="none"/>
          <w:lang w:val="en-US" w:eastAsia="zh-CN"/>
        </w:rPr>
        <w:t>附件及更正公告（如有）</w:t>
      </w:r>
      <w:r>
        <w:rPr>
          <w:rFonts w:hint="eastAsia" w:ascii="宋体" w:hAnsi="宋体" w:eastAsia="宋体" w:cs="宋体"/>
          <w:color w:val="auto"/>
          <w:sz w:val="24"/>
          <w:highlight w:val="none"/>
        </w:rPr>
        <w:t>，我方正式认可并遵守本次招标文件，并对招标文件各项条款、规定及要求均无异议。</w:t>
      </w:r>
    </w:p>
    <w:p w14:paraId="424D57DB">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.我方同意从招标文件规定的开标日期起遵循本招标文件，并在招标文件规定的投标有效期之前均具有约束力。</w:t>
      </w:r>
    </w:p>
    <w:p w14:paraId="4C2554F5">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521AC376">
      <w:pPr>
        <w:spacing w:line="360" w:lineRule="auto"/>
        <w:ind w:firstLine="4800" w:firstLineChars="2000"/>
        <w:rPr>
          <w:rFonts w:hint="eastAsia" w:ascii="宋体" w:hAnsi="宋体" w:eastAsia="宋体" w:cs="宋体"/>
          <w:color w:val="auto"/>
          <w:sz w:val="24"/>
          <w:highlight w:val="none"/>
        </w:rPr>
      </w:pPr>
    </w:p>
    <w:p w14:paraId="13BFA48F">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lang w:val="en-US" w:eastAsia="zh-CN"/>
        </w:rPr>
        <w:t>盖章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p w14:paraId="756F858E">
      <w:pPr>
        <w:spacing w:line="360" w:lineRule="auto"/>
        <w:ind w:firstLine="4800" w:firstLineChars="20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bookmarkEnd w:id="174"/>
    <w:bookmarkEnd w:id="175"/>
    <w:p w14:paraId="1A4FFA23">
      <w:pPr>
        <w:spacing w:line="360" w:lineRule="auto"/>
        <w:jc w:val="center"/>
        <w:outlineLvl w:val="0"/>
        <w:rPr>
          <w:rFonts w:hint="eastAsia" w:ascii="宋体" w:hAnsi="宋体" w:eastAsia="宋体" w:cs="宋体"/>
          <w:b/>
          <w:color w:val="auto"/>
          <w:sz w:val="28"/>
          <w:highlight w:val="none"/>
        </w:rPr>
      </w:pPr>
      <w:r>
        <w:rPr>
          <w:rFonts w:hint="eastAsia" w:ascii="宋体" w:hAnsi="宋体" w:eastAsia="宋体" w:cs="宋体"/>
          <w:color w:val="auto"/>
          <w:sz w:val="24"/>
          <w:highlight w:val="none"/>
        </w:rPr>
        <w:t xml:space="preserve">     </w:t>
      </w:r>
    </w:p>
    <w:p w14:paraId="4D1B50D1">
      <w:pPr>
        <w:spacing w:line="360" w:lineRule="auto"/>
        <w:jc w:val="center"/>
        <w:outlineLvl w:val="0"/>
        <w:rPr>
          <w:rFonts w:hint="eastAsia" w:ascii="宋体" w:hAnsi="宋体" w:eastAsia="宋体" w:cs="宋体"/>
          <w:b/>
          <w:color w:val="auto"/>
          <w:sz w:val="28"/>
          <w:highlight w:val="none"/>
        </w:rPr>
      </w:pPr>
    </w:p>
    <w:p w14:paraId="33171277">
      <w:pPr>
        <w:spacing w:line="360" w:lineRule="auto"/>
        <w:jc w:val="center"/>
        <w:outlineLvl w:val="0"/>
        <w:rPr>
          <w:rFonts w:hint="eastAsia" w:ascii="宋体" w:hAnsi="宋体" w:eastAsia="宋体" w:cs="宋体"/>
          <w:b/>
          <w:color w:val="auto"/>
          <w:sz w:val="28"/>
          <w:highlight w:val="none"/>
        </w:rPr>
      </w:pPr>
    </w:p>
    <w:p w14:paraId="24295485">
      <w:pPr>
        <w:spacing w:line="360" w:lineRule="auto"/>
        <w:jc w:val="center"/>
        <w:outlineLvl w:val="0"/>
        <w:rPr>
          <w:rFonts w:hint="eastAsia" w:ascii="宋体" w:hAnsi="宋体" w:eastAsia="宋体" w:cs="宋体"/>
          <w:b/>
          <w:color w:val="auto"/>
          <w:sz w:val="28"/>
          <w:highlight w:val="none"/>
        </w:rPr>
      </w:pPr>
    </w:p>
    <w:p w14:paraId="7DDD1FC1">
      <w:pPr>
        <w:spacing w:line="360" w:lineRule="auto"/>
        <w:jc w:val="center"/>
        <w:outlineLvl w:val="0"/>
        <w:rPr>
          <w:rFonts w:hint="eastAsia" w:ascii="宋体" w:hAnsi="宋体" w:eastAsia="宋体" w:cs="宋体"/>
          <w:b/>
          <w:color w:val="auto"/>
          <w:sz w:val="28"/>
          <w:highlight w:val="none"/>
        </w:rPr>
      </w:pPr>
    </w:p>
    <w:p w14:paraId="43175992">
      <w:pPr>
        <w:spacing w:line="360" w:lineRule="auto"/>
        <w:jc w:val="center"/>
        <w:outlineLvl w:val="0"/>
        <w:rPr>
          <w:rFonts w:hint="eastAsia" w:ascii="宋体" w:hAnsi="宋体" w:eastAsia="宋体" w:cs="宋体"/>
          <w:b/>
          <w:color w:val="auto"/>
          <w:sz w:val="28"/>
          <w:highlight w:val="none"/>
        </w:rPr>
      </w:pPr>
    </w:p>
    <w:p w14:paraId="01B5060D">
      <w:pPr>
        <w:spacing w:line="360" w:lineRule="auto"/>
        <w:jc w:val="center"/>
        <w:outlineLvl w:val="1"/>
        <w:rPr>
          <w:rFonts w:hint="eastAsia" w:ascii="宋体" w:hAnsi="宋体" w:eastAsia="宋体" w:cs="宋体"/>
          <w:b/>
          <w:color w:val="auto"/>
          <w:sz w:val="24"/>
          <w:highlight w:val="none"/>
        </w:rPr>
      </w:pPr>
      <w:bookmarkStart w:id="178" w:name="_Toc6796"/>
      <w:bookmarkStart w:id="179" w:name="_Toc31991"/>
    </w:p>
    <w:p w14:paraId="2484B04A">
      <w:pPr>
        <w:spacing w:line="360" w:lineRule="auto"/>
        <w:jc w:val="center"/>
        <w:outlineLvl w:val="1"/>
        <w:rPr>
          <w:rFonts w:hint="eastAsia" w:ascii="宋体" w:hAnsi="宋体" w:eastAsia="宋体" w:cs="宋体"/>
          <w:b/>
          <w:color w:val="auto"/>
          <w:sz w:val="24"/>
          <w:highlight w:val="none"/>
        </w:rPr>
      </w:pPr>
    </w:p>
    <w:p w14:paraId="223B7C8F">
      <w:pPr>
        <w:spacing w:line="360" w:lineRule="auto"/>
        <w:jc w:val="center"/>
        <w:outlineLvl w:val="1"/>
        <w:rPr>
          <w:rFonts w:hint="eastAsia" w:ascii="宋体" w:hAnsi="宋体" w:eastAsia="宋体" w:cs="宋体"/>
          <w:b/>
          <w:color w:val="auto"/>
          <w:sz w:val="24"/>
          <w:highlight w:val="none"/>
        </w:rPr>
      </w:pPr>
    </w:p>
    <w:p w14:paraId="42B97848">
      <w:pPr>
        <w:spacing w:line="360" w:lineRule="auto"/>
        <w:jc w:val="center"/>
        <w:outlineLvl w:val="1"/>
        <w:rPr>
          <w:rFonts w:hint="eastAsia" w:ascii="宋体" w:hAnsi="宋体" w:eastAsia="宋体" w:cs="宋体"/>
          <w:b/>
          <w:color w:val="auto"/>
          <w:sz w:val="24"/>
          <w:highlight w:val="none"/>
        </w:rPr>
      </w:pPr>
    </w:p>
    <w:bookmarkEnd w:id="178"/>
    <w:bookmarkEnd w:id="179"/>
    <w:p w14:paraId="2F215D73">
      <w:pPr>
        <w:widowControl/>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bookmarkEnd w:id="176"/>
      <w:bookmarkEnd w:id="177"/>
    </w:p>
    <w:p w14:paraId="30CB8BE6">
      <w:pPr>
        <w:rPr>
          <w:rFonts w:hint="eastAsia" w:ascii="宋体" w:hAnsi="宋体" w:eastAsia="宋体" w:cs="宋体"/>
          <w:color w:val="auto"/>
          <w:highlight w:val="none"/>
        </w:rPr>
      </w:pPr>
    </w:p>
    <w:p w14:paraId="2F47180F">
      <w:pPr>
        <w:spacing w:line="360" w:lineRule="auto"/>
        <w:jc w:val="center"/>
        <w:outlineLvl w:val="0"/>
        <w:rPr>
          <w:rFonts w:hint="eastAsia" w:ascii="宋体" w:hAnsi="宋体" w:eastAsia="宋体" w:cs="宋体"/>
          <w:b/>
          <w:bCs/>
          <w:color w:val="auto"/>
          <w:sz w:val="28"/>
          <w:highlight w:val="none"/>
        </w:rPr>
      </w:pPr>
      <w:r>
        <w:rPr>
          <w:rFonts w:hint="eastAsia" w:ascii="宋体" w:hAnsi="宋体" w:eastAsia="宋体" w:cs="宋体"/>
          <w:b/>
          <w:bCs/>
          <w:color w:val="auto"/>
          <w:sz w:val="28"/>
          <w:highlight w:val="none"/>
          <w:lang w:val="en-US" w:eastAsia="zh-CN"/>
        </w:rPr>
        <w:t xml:space="preserve">第七章 </w:t>
      </w:r>
      <w:r>
        <w:rPr>
          <w:rFonts w:hint="eastAsia" w:ascii="宋体" w:hAnsi="宋体" w:eastAsia="宋体" w:cs="宋体"/>
          <w:b/>
          <w:bCs/>
          <w:color w:val="auto"/>
          <w:sz w:val="28"/>
          <w:highlight w:val="none"/>
        </w:rPr>
        <w:t>政府采购</w:t>
      </w:r>
      <w:r>
        <w:rPr>
          <w:rFonts w:hint="eastAsia" w:ascii="宋体" w:hAnsi="宋体" w:eastAsia="宋体" w:cs="宋体"/>
          <w:b/>
          <w:color w:val="auto"/>
          <w:sz w:val="28"/>
          <w:highlight w:val="none"/>
        </w:rPr>
        <w:t>供应</w:t>
      </w:r>
      <w:r>
        <w:rPr>
          <w:rFonts w:hint="eastAsia" w:ascii="宋体" w:hAnsi="宋体" w:eastAsia="宋体" w:cs="宋体"/>
          <w:b/>
          <w:bCs/>
          <w:color w:val="auto"/>
          <w:sz w:val="28"/>
          <w:highlight w:val="none"/>
        </w:rPr>
        <w:t>商询问函和质疑函范本</w:t>
      </w:r>
    </w:p>
    <w:p w14:paraId="2CFC6E55">
      <w:pPr>
        <w:spacing w:line="360" w:lineRule="auto"/>
        <w:jc w:val="center"/>
        <w:outlineLvl w:val="1"/>
        <w:rPr>
          <w:rFonts w:hint="eastAsia" w:ascii="宋体" w:hAnsi="宋体" w:eastAsia="宋体" w:cs="宋体"/>
          <w:b/>
          <w:bCs/>
          <w:color w:val="auto"/>
          <w:sz w:val="32"/>
          <w:szCs w:val="44"/>
          <w:highlight w:val="none"/>
        </w:rPr>
      </w:pPr>
      <w:r>
        <w:rPr>
          <w:rFonts w:hint="eastAsia" w:ascii="宋体" w:hAnsi="宋体" w:eastAsia="宋体" w:cs="宋体"/>
          <w:b/>
          <w:bCs/>
          <w:color w:val="auto"/>
          <w:sz w:val="32"/>
          <w:szCs w:val="44"/>
          <w:highlight w:val="none"/>
        </w:rPr>
        <w:t>询问函范本</w:t>
      </w:r>
    </w:p>
    <w:p w14:paraId="22E6F284">
      <w:pPr>
        <w:adjustRightInd w:val="0"/>
        <w:snapToGrid w:val="0"/>
        <w:spacing w:line="360" w:lineRule="auto"/>
        <w:ind w:firstLine="480" w:firstLineChars="200"/>
        <w:jc w:val="center"/>
        <w:rPr>
          <w:rFonts w:hint="eastAsia" w:ascii="宋体" w:hAnsi="宋体" w:eastAsia="宋体" w:cs="宋体"/>
          <w:b/>
          <w:bCs/>
          <w:color w:val="auto"/>
          <w:sz w:val="32"/>
          <w:szCs w:val="44"/>
          <w:highlight w:val="none"/>
        </w:rPr>
      </w:pPr>
      <w:r>
        <w:rPr>
          <w:rFonts w:hint="eastAsia" w:ascii="宋体" w:hAnsi="宋体" w:eastAsia="宋体" w:cs="宋体"/>
          <w:i/>
          <w:iCs/>
          <w:color w:val="auto"/>
          <w:sz w:val="24"/>
          <w:szCs w:val="24"/>
          <w:highlight w:val="none"/>
        </w:rPr>
        <w:t>（如为对采购文件或采购程序的询问或疑问，请按询问函范本格式附件进行提交）</w:t>
      </w:r>
    </w:p>
    <w:p w14:paraId="1436D05E">
      <w:pPr>
        <w:adjustRightInd w:val="0"/>
        <w:snapToGrid w:val="0"/>
        <w:spacing w:line="360" w:lineRule="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致：采购人</w:t>
      </w:r>
    </w:p>
    <w:p w14:paraId="747CF6D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我单位拟参与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i/>
          <w:iCs/>
          <w:color w:val="auto"/>
          <w:sz w:val="24"/>
          <w:szCs w:val="24"/>
          <w:highlight w:val="none"/>
        </w:rPr>
        <w:t>项目名称、编号</w:t>
      </w:r>
      <w:r>
        <w:rPr>
          <w:rFonts w:hint="eastAsia" w:ascii="宋体" w:hAnsi="宋体" w:eastAsia="宋体" w:cs="宋体"/>
          <w:color w:val="auto"/>
          <w:sz w:val="24"/>
          <w:szCs w:val="24"/>
          <w:highlight w:val="none"/>
        </w:rPr>
        <w:t>）的采购活动，现有以下内容(或条款)存在疑问(或无法理解)，特提出询问。</w:t>
      </w:r>
    </w:p>
    <w:p w14:paraId="71C51CF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一、(事项一)</w:t>
      </w:r>
    </w:p>
    <w:p w14:paraId="5E4875E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1、(内容或条款)</w:t>
      </w:r>
    </w:p>
    <w:p w14:paraId="59D6981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2、(说明疑问或无法理解原因)</w:t>
      </w:r>
    </w:p>
    <w:p w14:paraId="645275C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3、(建议)</w:t>
      </w:r>
    </w:p>
    <w:p w14:paraId="4992509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二、(事项二)</w:t>
      </w:r>
    </w:p>
    <w:p w14:paraId="4BA0757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FF269F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随附相关证明材料如下： </w:t>
      </w:r>
    </w:p>
    <w:p w14:paraId="5D206545">
      <w:pPr>
        <w:spacing w:line="360" w:lineRule="auto"/>
        <w:ind w:firstLine="4228" w:firstLineChars="176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 系 人：</w:t>
      </w:r>
      <w:r>
        <w:rPr>
          <w:rFonts w:hint="eastAsia" w:ascii="宋体" w:hAnsi="宋体" w:eastAsia="宋体" w:cs="宋体"/>
          <w:color w:val="auto"/>
          <w:sz w:val="24"/>
          <w:highlight w:val="none"/>
          <w:u w:val="single"/>
        </w:rPr>
        <w:t xml:space="preserve">              </w:t>
      </w:r>
    </w:p>
    <w:p w14:paraId="2B9EAAEE">
      <w:pPr>
        <w:spacing w:line="360" w:lineRule="auto"/>
        <w:ind w:firstLine="4228" w:firstLineChars="176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single"/>
        </w:rPr>
        <w:t xml:space="preserve">              </w:t>
      </w:r>
    </w:p>
    <w:p w14:paraId="71145102">
      <w:pPr>
        <w:tabs>
          <w:tab w:val="left" w:pos="630"/>
        </w:tabs>
        <w:spacing w:line="360" w:lineRule="auto"/>
        <w:ind w:firstLine="4228" w:firstLineChars="1762"/>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日    期：</w:t>
      </w:r>
      <w:r>
        <w:rPr>
          <w:rFonts w:hint="eastAsia" w:ascii="宋体" w:hAnsi="宋体" w:eastAsia="宋体" w:cs="宋体"/>
          <w:color w:val="auto"/>
          <w:sz w:val="24"/>
          <w:highlight w:val="none"/>
          <w:u w:val="single"/>
        </w:rPr>
        <w:t xml:space="preserve">              </w:t>
      </w:r>
    </w:p>
    <w:p w14:paraId="2E10C076">
      <w:pPr>
        <w:wordWrap w:val="0"/>
        <w:spacing w:before="100" w:beforeAutospacing="1" w:after="100" w:afterAutospacing="1"/>
        <w:jc w:val="center"/>
        <w:rPr>
          <w:rFonts w:hint="eastAsia" w:ascii="宋体" w:hAnsi="宋体" w:eastAsia="宋体" w:cs="宋体"/>
          <w:b/>
          <w:color w:val="auto"/>
          <w:sz w:val="28"/>
          <w:szCs w:val="28"/>
          <w:highlight w:val="none"/>
        </w:rPr>
      </w:pPr>
    </w:p>
    <w:p w14:paraId="38B79CC0">
      <w:pPr>
        <w:wordWrap w:val="0"/>
        <w:spacing w:before="100" w:beforeAutospacing="1" w:after="100" w:afterAutospacing="1"/>
        <w:jc w:val="center"/>
        <w:rPr>
          <w:rFonts w:hint="eastAsia" w:ascii="宋体" w:hAnsi="宋体" w:eastAsia="宋体" w:cs="宋体"/>
          <w:b/>
          <w:color w:val="auto"/>
          <w:sz w:val="28"/>
          <w:szCs w:val="28"/>
          <w:highlight w:val="none"/>
        </w:rPr>
      </w:pPr>
    </w:p>
    <w:p w14:paraId="5A01A5EF">
      <w:pPr>
        <w:wordWrap w:val="0"/>
        <w:spacing w:before="100" w:beforeAutospacing="1" w:after="100" w:afterAutospacing="1"/>
        <w:jc w:val="center"/>
        <w:rPr>
          <w:rFonts w:hint="eastAsia" w:ascii="宋体" w:hAnsi="宋体" w:eastAsia="宋体" w:cs="宋体"/>
          <w:b/>
          <w:color w:val="auto"/>
          <w:sz w:val="28"/>
          <w:szCs w:val="28"/>
          <w:highlight w:val="none"/>
        </w:rPr>
      </w:pPr>
    </w:p>
    <w:p w14:paraId="5404F36F">
      <w:pPr>
        <w:wordWrap w:val="0"/>
        <w:spacing w:before="100" w:beforeAutospacing="1" w:after="100" w:afterAutospacing="1"/>
        <w:jc w:val="center"/>
        <w:rPr>
          <w:rFonts w:hint="eastAsia" w:ascii="宋体" w:hAnsi="宋体" w:eastAsia="宋体" w:cs="宋体"/>
          <w:b/>
          <w:color w:val="auto"/>
          <w:sz w:val="28"/>
          <w:szCs w:val="28"/>
          <w:highlight w:val="none"/>
        </w:rPr>
      </w:pPr>
    </w:p>
    <w:p w14:paraId="35DA98BA">
      <w:pPr>
        <w:wordWrap w:val="0"/>
        <w:spacing w:before="100" w:beforeAutospacing="1" w:after="100" w:afterAutospacing="1"/>
        <w:jc w:val="center"/>
        <w:rPr>
          <w:rFonts w:hint="eastAsia" w:ascii="宋体" w:hAnsi="宋体" w:eastAsia="宋体" w:cs="宋体"/>
          <w:b/>
          <w:color w:val="auto"/>
          <w:sz w:val="28"/>
          <w:szCs w:val="28"/>
          <w:highlight w:val="none"/>
        </w:rPr>
      </w:pPr>
    </w:p>
    <w:p w14:paraId="0AF6801A">
      <w:pPr>
        <w:wordWrap w:val="0"/>
        <w:spacing w:before="100" w:beforeAutospacing="1" w:after="100" w:afterAutospacing="1"/>
        <w:jc w:val="center"/>
        <w:rPr>
          <w:rFonts w:hint="eastAsia" w:ascii="宋体" w:hAnsi="宋体" w:eastAsia="宋体" w:cs="宋体"/>
          <w:b/>
          <w:color w:val="auto"/>
          <w:sz w:val="28"/>
          <w:szCs w:val="28"/>
          <w:highlight w:val="none"/>
        </w:rPr>
      </w:pPr>
    </w:p>
    <w:p w14:paraId="7E0659E6">
      <w:pPr>
        <w:jc w:val="center"/>
        <w:outlineLvl w:val="1"/>
        <w:rPr>
          <w:rFonts w:hint="eastAsia" w:ascii="宋体" w:hAnsi="宋体" w:eastAsia="宋体" w:cs="宋体"/>
          <w:b/>
          <w:bCs/>
          <w:color w:val="auto"/>
          <w:sz w:val="32"/>
          <w:szCs w:val="44"/>
          <w:highlight w:val="none"/>
        </w:rPr>
      </w:pPr>
      <w:r>
        <w:rPr>
          <w:rFonts w:hint="eastAsia" w:ascii="宋体" w:hAnsi="宋体" w:eastAsia="宋体" w:cs="宋体"/>
          <w:b/>
          <w:bCs/>
          <w:color w:val="auto"/>
          <w:sz w:val="32"/>
          <w:szCs w:val="44"/>
          <w:highlight w:val="none"/>
        </w:rPr>
        <w:t>质疑函范本</w:t>
      </w:r>
    </w:p>
    <w:p w14:paraId="2AB29881">
      <w:pPr>
        <w:adjustRightInd w:val="0"/>
        <w:snapToGrid w:val="0"/>
        <w:spacing w:before="312" w:beforeLines="100"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1186CE28">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质疑供应商：</w:t>
      </w:r>
      <w:r>
        <w:rPr>
          <w:rFonts w:hint="eastAsia" w:ascii="宋体" w:hAnsi="宋体" w:eastAsia="宋体" w:cs="宋体"/>
          <w:color w:val="auto"/>
          <w:sz w:val="24"/>
          <w:szCs w:val="24"/>
          <w:highlight w:val="none"/>
          <w:u w:val="dotted"/>
        </w:rPr>
        <w:t xml:space="preserve">                                        </w:t>
      </w:r>
    </w:p>
    <w:p w14:paraId="65FBB2E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5623030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54739BD9">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1FB96F6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 xml:space="preserve"> </w:t>
      </w:r>
    </w:p>
    <w:p w14:paraId="602103F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7A103D4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57483C6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5165819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05A2E74D">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rPr>
        <w:t xml:space="preserve">                                         </w:t>
      </w:r>
    </w:p>
    <w:p w14:paraId="2660B0D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采购文件获取日期：</w:t>
      </w:r>
      <w:r>
        <w:rPr>
          <w:rFonts w:hint="eastAsia" w:ascii="宋体" w:hAnsi="宋体" w:eastAsia="宋体" w:cs="宋体"/>
          <w:color w:val="auto"/>
          <w:sz w:val="24"/>
          <w:szCs w:val="24"/>
          <w:highlight w:val="none"/>
          <w:u w:val="dotted"/>
        </w:rPr>
        <w:t xml:space="preserve">                                           </w:t>
      </w:r>
    </w:p>
    <w:p w14:paraId="6CD68853">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三、质疑事项具体内容</w:t>
      </w:r>
    </w:p>
    <w:p w14:paraId="12F7E0A1">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08252DB9">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6D3F501F">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dotted"/>
        </w:rPr>
        <w:t xml:space="preserve">                                                       </w:t>
      </w:r>
    </w:p>
    <w:p w14:paraId="03E2001B">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6258CF17">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u w:val="dotted"/>
        </w:rPr>
        <w:t xml:space="preserve">                                                     </w:t>
      </w:r>
    </w:p>
    <w:p w14:paraId="2BE1CDED">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4E2F2A7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5E45F451">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四、与质疑事项相关的质疑请求</w:t>
      </w:r>
    </w:p>
    <w:p w14:paraId="03273932">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786065D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签字(签章)：                   公章：                      </w:t>
      </w:r>
    </w:p>
    <w:p w14:paraId="2B0CC50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p>
    <w:p w14:paraId="4DD25BA1">
      <w:pPr>
        <w:widowControl/>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D7F68D5">
      <w:pPr>
        <w:outlineLvl w:val="0"/>
        <w:rPr>
          <w:rFonts w:hint="eastAsia" w:ascii="宋体" w:hAnsi="宋体" w:eastAsia="宋体" w:cs="宋体"/>
          <w:b/>
          <w:color w:val="auto"/>
          <w:sz w:val="28"/>
          <w:szCs w:val="32"/>
          <w:highlight w:val="none"/>
        </w:rPr>
      </w:pPr>
      <w:r>
        <w:rPr>
          <w:rFonts w:hint="eastAsia" w:ascii="宋体" w:hAnsi="宋体" w:eastAsia="宋体" w:cs="宋体"/>
          <w:b/>
          <w:color w:val="auto"/>
          <w:sz w:val="28"/>
          <w:szCs w:val="32"/>
          <w:highlight w:val="none"/>
        </w:rPr>
        <w:t>质疑函制作说明：</w:t>
      </w:r>
    </w:p>
    <w:p w14:paraId="09D5A847">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1.供应商提出质疑时，应提交质疑函和必要的证明材料。</w:t>
      </w:r>
    </w:p>
    <w:p w14:paraId="05CB1D2A">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F4049B2">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3.质疑供应商若对项目的某一分包进行质疑，质疑函中应列明具体分包号。</w:t>
      </w:r>
    </w:p>
    <w:p w14:paraId="56ADD01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4.质疑函的质疑事项应具体、明确，并有必要的事实依据和法律依据。</w:t>
      </w:r>
    </w:p>
    <w:p w14:paraId="2636B94D">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5.质疑函的质疑请求应与质疑事项相关。</w:t>
      </w:r>
    </w:p>
    <w:p w14:paraId="7AABAFD3">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6.质疑供应商为自然人的，质疑函应由本人签字；质疑供应商为法人或者其他组织的，质疑函应由法定代表人、主要负责人，或者其授权代表签字或者盖章，并加盖公章。</w:t>
      </w:r>
    </w:p>
    <w:p w14:paraId="56C09713">
      <w:pPr>
        <w:widowControl/>
        <w:jc w:val="left"/>
        <w:rPr>
          <w:rFonts w:hint="eastAsia" w:ascii="宋体" w:hAnsi="宋体" w:eastAsia="宋体" w:cs="宋体"/>
          <w:color w:val="auto"/>
          <w:sz w:val="24"/>
          <w:highlight w:val="none"/>
        </w:rPr>
      </w:pPr>
    </w:p>
    <w:sectPr>
      <w:headerReference r:id="rId5" w:type="default"/>
      <w:footerReference r:id="rId6"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93288">
    <w:pPr>
      <w:pStyle w:val="15"/>
      <w:jc w:val="center"/>
      <w:rPr>
        <w:rFonts w:ascii="宋体" w:hAnsi="宋体" w:eastAsia="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837E2">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2837E2">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99C7">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35C33A">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C35C33A">
                    <w:pPr>
                      <w:pStyle w:val="15"/>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40</w:t>
                    </w:r>
                    <w:r>
                      <w:fldChar w:fldCharType="end"/>
                    </w:r>
                    <w:r>
                      <w:t xml:space="preserve"> 页</w:t>
                    </w:r>
                  </w:p>
                </w:txbxContent>
              </v:textbox>
            </v:shape>
          </w:pict>
        </mc:Fallback>
      </mc:AlternateContent>
    </w: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F600D8F">
                          <w:pPr>
                            <w:rPr>
                              <w:rFonts w:hint="eastAsia"/>
                            </w:rPr>
                          </w:pPr>
                        </w:p>
                      </w:txbxContent>
                    </wps:txbx>
                    <wps:bodyPr vert="horz" wrap="none" lIns="0" tIns="0" rIns="0" bIns="0" anchor="t" upright="0">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AqI2Sb0QEAAJ4DAAAOAAAAAAAAAAEAIAAAAB8BAABk&#10;cnMvZTJvRG9jLnhtbFBLBQYAAAAABgAGAFkBAABiBQAAAAA=&#10;">
              <v:fill on="f" focussize="0,0"/>
              <v:stroke on="f"/>
              <v:imagedata o:title=""/>
              <o:lock v:ext="edit" aspectratio="f"/>
              <v:textbox inset="0mm,0mm,0mm,0mm" style="mso-fit-shape-to-text:t;">
                <w:txbxContent>
                  <w:p w14:paraId="5F600D8F">
                    <w:pPr>
                      <w:rPr>
                        <w:rFonts w:hint="eastAsia"/>
                      </w:rPr>
                    </w:pP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1B24F">
    <w:pPr>
      <w:pStyle w:val="16"/>
      <w:jc w:val="left"/>
      <w:rPr>
        <w:rFonts w:ascii="宋体" w:hAnsi="宋体" w:eastAsia="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F3E0F">
    <w:pPr>
      <w:pStyle w:val="16"/>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13B792"/>
    <w:multiLevelType w:val="singleLevel"/>
    <w:tmpl w:val="E013B792"/>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mNmI4YmI4ODA2MWE2ZmNkMjg3Zjk0MGJmYmY0ZGYifQ=="/>
  </w:docVars>
  <w:rsids>
    <w:rsidRoot w:val="00000000"/>
    <w:rsid w:val="00135135"/>
    <w:rsid w:val="00637A8F"/>
    <w:rsid w:val="00997D30"/>
    <w:rsid w:val="01777E75"/>
    <w:rsid w:val="01B3556A"/>
    <w:rsid w:val="01E25ABE"/>
    <w:rsid w:val="01FF3BC3"/>
    <w:rsid w:val="02907B51"/>
    <w:rsid w:val="034D095E"/>
    <w:rsid w:val="03A013D6"/>
    <w:rsid w:val="03A82CAD"/>
    <w:rsid w:val="044E498E"/>
    <w:rsid w:val="04977231"/>
    <w:rsid w:val="05502988"/>
    <w:rsid w:val="071449EC"/>
    <w:rsid w:val="0748600C"/>
    <w:rsid w:val="07850B94"/>
    <w:rsid w:val="080571F7"/>
    <w:rsid w:val="0A6749FB"/>
    <w:rsid w:val="0C96488C"/>
    <w:rsid w:val="0D2070E4"/>
    <w:rsid w:val="0D5A0848"/>
    <w:rsid w:val="0DBD3537"/>
    <w:rsid w:val="10026281"/>
    <w:rsid w:val="10A92E3C"/>
    <w:rsid w:val="10B22749"/>
    <w:rsid w:val="11B524F0"/>
    <w:rsid w:val="142E658A"/>
    <w:rsid w:val="14535EB6"/>
    <w:rsid w:val="14A64372"/>
    <w:rsid w:val="14ED3D4F"/>
    <w:rsid w:val="151242CA"/>
    <w:rsid w:val="161146EA"/>
    <w:rsid w:val="16EE413B"/>
    <w:rsid w:val="178521C3"/>
    <w:rsid w:val="17B80644"/>
    <w:rsid w:val="18C21A24"/>
    <w:rsid w:val="1B325A6D"/>
    <w:rsid w:val="1BAD248A"/>
    <w:rsid w:val="1C8A6328"/>
    <w:rsid w:val="1C9F6277"/>
    <w:rsid w:val="1E081BFA"/>
    <w:rsid w:val="1E5209A9"/>
    <w:rsid w:val="1ECF593D"/>
    <w:rsid w:val="1F4E5D32"/>
    <w:rsid w:val="1F6A3B3E"/>
    <w:rsid w:val="20586E69"/>
    <w:rsid w:val="20631D11"/>
    <w:rsid w:val="20E63CC8"/>
    <w:rsid w:val="21374CD0"/>
    <w:rsid w:val="21A60641"/>
    <w:rsid w:val="22632F8C"/>
    <w:rsid w:val="22A5210D"/>
    <w:rsid w:val="233A2855"/>
    <w:rsid w:val="24013373"/>
    <w:rsid w:val="24A273AD"/>
    <w:rsid w:val="25475BB8"/>
    <w:rsid w:val="25EB6089"/>
    <w:rsid w:val="25FE400E"/>
    <w:rsid w:val="26906C30"/>
    <w:rsid w:val="27A8194F"/>
    <w:rsid w:val="27AB1F74"/>
    <w:rsid w:val="27FF4722"/>
    <w:rsid w:val="283F1733"/>
    <w:rsid w:val="28C64B8B"/>
    <w:rsid w:val="297B3BC8"/>
    <w:rsid w:val="2BDA4172"/>
    <w:rsid w:val="2CC969F8"/>
    <w:rsid w:val="2D96494A"/>
    <w:rsid w:val="2EB060C2"/>
    <w:rsid w:val="2F8376E0"/>
    <w:rsid w:val="30442B30"/>
    <w:rsid w:val="311A0999"/>
    <w:rsid w:val="3190410E"/>
    <w:rsid w:val="319475D5"/>
    <w:rsid w:val="31EF5153"/>
    <w:rsid w:val="32E427DE"/>
    <w:rsid w:val="35507B33"/>
    <w:rsid w:val="365F68EE"/>
    <w:rsid w:val="396509C3"/>
    <w:rsid w:val="3A881CA1"/>
    <w:rsid w:val="3B5B7B12"/>
    <w:rsid w:val="3B7010B2"/>
    <w:rsid w:val="3B8B3D12"/>
    <w:rsid w:val="3CD157EA"/>
    <w:rsid w:val="3D202664"/>
    <w:rsid w:val="3E900306"/>
    <w:rsid w:val="3E990920"/>
    <w:rsid w:val="3F5E1ADA"/>
    <w:rsid w:val="3FE97AAF"/>
    <w:rsid w:val="401A628B"/>
    <w:rsid w:val="406D3E12"/>
    <w:rsid w:val="414C43D2"/>
    <w:rsid w:val="41846EB2"/>
    <w:rsid w:val="41FB544E"/>
    <w:rsid w:val="424E75EA"/>
    <w:rsid w:val="42D7538F"/>
    <w:rsid w:val="43192DC8"/>
    <w:rsid w:val="43FC45F2"/>
    <w:rsid w:val="44B2481B"/>
    <w:rsid w:val="45455285"/>
    <w:rsid w:val="456E2723"/>
    <w:rsid w:val="45CA5863"/>
    <w:rsid w:val="46132E83"/>
    <w:rsid w:val="461D1E37"/>
    <w:rsid w:val="46354440"/>
    <w:rsid w:val="46C51B89"/>
    <w:rsid w:val="48C12F4D"/>
    <w:rsid w:val="4A432E50"/>
    <w:rsid w:val="4AF3565B"/>
    <w:rsid w:val="4B076EEB"/>
    <w:rsid w:val="4B964046"/>
    <w:rsid w:val="4BFC116A"/>
    <w:rsid w:val="4C2B0BB7"/>
    <w:rsid w:val="4D4B7F5A"/>
    <w:rsid w:val="4E5877A0"/>
    <w:rsid w:val="4F842056"/>
    <w:rsid w:val="4FE47521"/>
    <w:rsid w:val="50E579F5"/>
    <w:rsid w:val="520E2096"/>
    <w:rsid w:val="53D53B39"/>
    <w:rsid w:val="54C31DFB"/>
    <w:rsid w:val="554A7FC1"/>
    <w:rsid w:val="55C45E2B"/>
    <w:rsid w:val="56D0725B"/>
    <w:rsid w:val="56D5001B"/>
    <w:rsid w:val="582232DD"/>
    <w:rsid w:val="5853793A"/>
    <w:rsid w:val="585872F1"/>
    <w:rsid w:val="585D6076"/>
    <w:rsid w:val="59914EB2"/>
    <w:rsid w:val="5A7D545E"/>
    <w:rsid w:val="5AAE2C06"/>
    <w:rsid w:val="5CED210B"/>
    <w:rsid w:val="5E021B51"/>
    <w:rsid w:val="5E08087F"/>
    <w:rsid w:val="5E203E1A"/>
    <w:rsid w:val="5EDE0559"/>
    <w:rsid w:val="5EF82C0D"/>
    <w:rsid w:val="6111492D"/>
    <w:rsid w:val="62392CC7"/>
    <w:rsid w:val="629E0205"/>
    <w:rsid w:val="638F5526"/>
    <w:rsid w:val="6449646C"/>
    <w:rsid w:val="677B5035"/>
    <w:rsid w:val="68753C2C"/>
    <w:rsid w:val="69013140"/>
    <w:rsid w:val="6929500B"/>
    <w:rsid w:val="693D7F76"/>
    <w:rsid w:val="69F70A2D"/>
    <w:rsid w:val="6A3E77E6"/>
    <w:rsid w:val="6A8C216C"/>
    <w:rsid w:val="6C3C3EA6"/>
    <w:rsid w:val="6CFC03CE"/>
    <w:rsid w:val="6F0155A2"/>
    <w:rsid w:val="6F6607E6"/>
    <w:rsid w:val="6FDB79D7"/>
    <w:rsid w:val="70C55FE8"/>
    <w:rsid w:val="714C3766"/>
    <w:rsid w:val="719B0DF9"/>
    <w:rsid w:val="71ED1E0E"/>
    <w:rsid w:val="72DD00D4"/>
    <w:rsid w:val="72E12395"/>
    <w:rsid w:val="731C29AB"/>
    <w:rsid w:val="73E7745D"/>
    <w:rsid w:val="74485A21"/>
    <w:rsid w:val="7554492F"/>
    <w:rsid w:val="78A21D8D"/>
    <w:rsid w:val="79BD14F1"/>
    <w:rsid w:val="7A4D6686"/>
    <w:rsid w:val="7B9003DA"/>
    <w:rsid w:val="7CEF2EDE"/>
    <w:rsid w:val="7D2D1C58"/>
    <w:rsid w:val="7F7C6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7"/>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49"/>
    <w:qFormat/>
    <w:uiPriority w:val="9"/>
    <w:pPr>
      <w:keepNext/>
      <w:keepLines/>
      <w:spacing w:before="260" w:after="260" w:line="416" w:lineRule="auto"/>
      <w:outlineLvl w:val="2"/>
    </w:pPr>
    <w:rPr>
      <w:b/>
      <w:bCs/>
      <w:sz w:val="32"/>
      <w:szCs w:val="32"/>
    </w:rPr>
  </w:style>
  <w:style w:type="paragraph" w:styleId="5">
    <w:name w:val="heading 4"/>
    <w:basedOn w:val="1"/>
    <w:next w:val="1"/>
    <w:link w:val="54"/>
    <w:qFormat/>
    <w:uiPriority w:val="0"/>
    <w:pPr>
      <w:keepNext/>
      <w:keepLines/>
      <w:spacing w:before="280" w:after="290" w:line="376" w:lineRule="auto"/>
      <w:outlineLvl w:val="3"/>
    </w:pPr>
    <w:rPr>
      <w:b/>
      <w:bCs/>
      <w:sz w:val="28"/>
      <w:szCs w:val="28"/>
    </w:rPr>
  </w:style>
  <w:style w:type="character" w:default="1" w:styleId="26">
    <w:name w:val="Default Paragraph Font"/>
    <w:qFormat/>
    <w:uiPriority w:val="1"/>
  </w:style>
  <w:style w:type="table" w:default="1" w:styleId="24">
    <w:name w:val="Normal Table"/>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46"/>
    <w:qFormat/>
    <w:uiPriority w:val="0"/>
    <w:pPr>
      <w:jc w:val="left"/>
    </w:pPr>
    <w:rPr>
      <w:rFonts w:ascii="Arial" w:hAnsi="Arial" w:eastAsia="黑体" w:cs="Arial"/>
    </w:rPr>
  </w:style>
  <w:style w:type="paragraph" w:styleId="8">
    <w:name w:val="Body Text"/>
    <w:basedOn w:val="1"/>
    <w:qFormat/>
    <w:uiPriority w:val="0"/>
    <w:pPr>
      <w:spacing w:after="120"/>
    </w:pPr>
    <w:rPr>
      <w:rFonts w:ascii="@微软简标宋" w:hAnsi="@微软简标宋" w:eastAsia="@微软简标宋" w:cs="@微软简标宋"/>
      <w:szCs w:val="24"/>
      <w:lang w:val="zh-CN"/>
    </w:r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snapToGrid w:val="0"/>
    </w:pPr>
    <w:rPr>
      <w:rFonts w:ascii="Arial" w:hAnsi="Arial"/>
    </w:rPr>
  </w:style>
  <w:style w:type="paragraph" w:styleId="11">
    <w:name w:val="toc 3"/>
    <w:basedOn w:val="1"/>
    <w:next w:val="1"/>
    <w:qFormat/>
    <w:uiPriority w:val="39"/>
    <w:pPr>
      <w:widowControl/>
      <w:spacing w:after="100" w:line="276" w:lineRule="auto"/>
      <w:ind w:left="440"/>
      <w:jc w:val="left"/>
    </w:pPr>
    <w:rPr>
      <w:rFonts w:ascii="Calibri" w:hAnsi="Calibri" w:eastAsia="宋体" w:cs="宋体"/>
      <w:kern w:val="0"/>
      <w:sz w:val="22"/>
      <w:szCs w:val="22"/>
    </w:rPr>
  </w:style>
  <w:style w:type="paragraph" w:styleId="12">
    <w:name w:val="Plain Text"/>
    <w:basedOn w:val="1"/>
    <w:link w:val="36"/>
    <w:qFormat/>
    <w:uiPriority w:val="99"/>
    <w:rPr>
      <w:rFonts w:ascii="宋体" w:hAnsi="Courier New" w:eastAsia="宋体" w:cs="宋体"/>
      <w:szCs w:val="22"/>
    </w:rPr>
  </w:style>
  <w:style w:type="paragraph" w:styleId="13">
    <w:name w:val="Date"/>
    <w:basedOn w:val="1"/>
    <w:next w:val="1"/>
    <w:link w:val="43"/>
    <w:qFormat/>
    <w:uiPriority w:val="0"/>
    <w:rPr>
      <w:rFonts w:ascii="Arial" w:hAnsi="Arial" w:eastAsia="宋体" w:cs="Arial"/>
      <w:b/>
      <w:sz w:val="28"/>
    </w:rPr>
  </w:style>
  <w:style w:type="paragraph" w:styleId="14">
    <w:name w:val="Balloon Text"/>
    <w:basedOn w:val="1"/>
    <w:link w:val="30"/>
    <w:qFormat/>
    <w:uiPriority w:val="99"/>
    <w:rPr>
      <w:sz w:val="18"/>
      <w:szCs w:val="18"/>
    </w:rPr>
  </w:style>
  <w:style w:type="paragraph" w:styleId="15">
    <w:name w:val="footer"/>
    <w:basedOn w:val="1"/>
    <w:link w:val="35"/>
    <w:qFormat/>
    <w:uiPriority w:val="99"/>
    <w:pPr>
      <w:tabs>
        <w:tab w:val="center" w:pos="4153"/>
        <w:tab w:val="right" w:pos="8306"/>
      </w:tabs>
      <w:snapToGrid w:val="0"/>
      <w:jc w:val="left"/>
    </w:pPr>
    <w:rPr>
      <w:sz w:val="18"/>
      <w:szCs w:val="18"/>
    </w:rPr>
  </w:style>
  <w:style w:type="paragraph" w:styleId="16">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widowControl/>
      <w:spacing w:after="100" w:line="276" w:lineRule="auto"/>
      <w:jc w:val="left"/>
    </w:pPr>
    <w:rPr>
      <w:rFonts w:ascii="Calibri" w:hAnsi="Calibri" w:eastAsia="宋体" w:cs="宋体"/>
      <w:kern w:val="0"/>
      <w:sz w:val="22"/>
      <w:szCs w:val="22"/>
    </w:rPr>
  </w:style>
  <w:style w:type="paragraph" w:styleId="18">
    <w:name w:val="toc 2"/>
    <w:basedOn w:val="1"/>
    <w:next w:val="1"/>
    <w:qFormat/>
    <w:uiPriority w:val="39"/>
    <w:pPr>
      <w:widowControl/>
      <w:spacing w:after="100" w:line="276" w:lineRule="auto"/>
      <w:ind w:left="220"/>
      <w:jc w:val="left"/>
    </w:pPr>
    <w:rPr>
      <w:rFonts w:ascii="Calibri" w:hAnsi="Calibri" w:eastAsia="宋体" w:cs="宋体"/>
      <w:kern w:val="0"/>
      <w:sz w:val="22"/>
      <w:szCs w:val="22"/>
    </w:rPr>
  </w:style>
  <w:style w:type="paragraph" w:styleId="19">
    <w:name w:val="Normal (Web)"/>
    <w:basedOn w:val="1"/>
    <w:qFormat/>
    <w:uiPriority w:val="0"/>
    <w:pPr>
      <w:spacing w:before="100" w:beforeAutospacing="1" w:after="100" w:afterAutospacing="1"/>
      <w:jc w:val="left"/>
    </w:pPr>
    <w:rPr>
      <w:rFonts w:cs="Times New Roman"/>
      <w:kern w:val="0"/>
      <w:sz w:val="24"/>
    </w:rPr>
  </w:style>
  <w:style w:type="paragraph" w:styleId="20">
    <w:name w:val="index 1"/>
    <w:basedOn w:val="1"/>
    <w:next w:val="1"/>
    <w:qFormat/>
    <w:uiPriority w:val="0"/>
    <w:pPr>
      <w:jc w:val="center"/>
    </w:pPr>
    <w:rPr>
      <w:rFonts w:ascii="Arial" w:hAnsi="Arial" w:eastAsia="Arial" w:cs="Arial"/>
      <w:b/>
      <w:bCs/>
      <w:sz w:val="28"/>
    </w:rPr>
  </w:style>
  <w:style w:type="paragraph" w:styleId="21">
    <w:name w:val="annotation subject"/>
    <w:basedOn w:val="7"/>
    <w:next w:val="7"/>
    <w:link w:val="57"/>
    <w:qFormat/>
    <w:uiPriority w:val="99"/>
    <w:rPr>
      <w:rFonts w:ascii="@仿宋_GB2312" w:hAnsi="@仿宋_GB2312" w:eastAsia="@仿宋_GB2312" w:cs="@仿宋_GB2312"/>
      <w:b/>
      <w:bCs/>
    </w:rPr>
  </w:style>
  <w:style w:type="paragraph" w:styleId="22">
    <w:name w:val="Body Text First Indent"/>
    <w:basedOn w:val="8"/>
    <w:qFormat/>
    <w:uiPriority w:val="99"/>
    <w:pPr>
      <w:ind w:firstLine="420" w:firstLineChars="100"/>
    </w:pPr>
  </w:style>
  <w:style w:type="paragraph" w:styleId="23">
    <w:name w:val="Body Text First Indent 2"/>
    <w:basedOn w:val="9"/>
    <w:next w:val="1"/>
    <w:qFormat/>
    <w:uiPriority w:val="0"/>
    <w:pPr>
      <w:ind w:left="420" w:firstLine="420" w:firstLineChars="200"/>
    </w:p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0"/>
    <w:rPr>
      <w:b/>
      <w:bCs/>
    </w:rPr>
  </w:style>
  <w:style w:type="character" w:styleId="28">
    <w:name w:val="Hyperlink"/>
    <w:basedOn w:val="26"/>
    <w:qFormat/>
    <w:uiPriority w:val="99"/>
    <w:rPr>
      <w:color w:val="0000FF"/>
      <w:u w:val="single"/>
    </w:rPr>
  </w:style>
  <w:style w:type="character" w:styleId="29">
    <w:name w:val="annotation reference"/>
    <w:basedOn w:val="26"/>
    <w:qFormat/>
    <w:uiPriority w:val="99"/>
    <w:rPr>
      <w:sz w:val="21"/>
      <w:szCs w:val="21"/>
    </w:rPr>
  </w:style>
  <w:style w:type="character" w:customStyle="1" w:styleId="30">
    <w:name w:val="批注框文本 Char"/>
    <w:basedOn w:val="26"/>
    <w:link w:val="14"/>
    <w:qFormat/>
    <w:uiPriority w:val="99"/>
    <w:rPr>
      <w:rFonts w:ascii="@仿宋_GB2312" w:hAnsi="@仿宋_GB2312" w:eastAsia="@仿宋_GB2312" w:cs="@仿宋_GB2312"/>
      <w:sz w:val="18"/>
      <w:szCs w:val="18"/>
    </w:rPr>
  </w:style>
  <w:style w:type="paragraph" w:customStyle="1" w:styleId="31">
    <w:name w:val="正文（缩进）"/>
    <w:basedOn w:val="1"/>
    <w:qFormat/>
    <w:uiPriority w:val="0"/>
    <w:pPr>
      <w:widowControl/>
      <w:spacing w:before="156" w:after="156"/>
      <w:ind w:firstLine="480" w:firstLineChars="200"/>
      <w:jc w:val="left"/>
    </w:pPr>
    <w:rPr>
      <w:kern w:val="0"/>
      <w:sz w:val="24"/>
      <w:szCs w:val="24"/>
    </w:rPr>
  </w:style>
  <w:style w:type="paragraph" w:customStyle="1" w:styleId="32">
    <w:name w:val="xl31"/>
    <w:basedOn w:val="1"/>
    <w:qFormat/>
    <w:uiPriority w:val="0"/>
    <w:pPr>
      <w:widowControl/>
      <w:spacing w:before="100" w:beforeAutospacing="1" w:after="100" w:afterAutospacing="1"/>
      <w:jc w:val="center"/>
    </w:pPr>
    <w:rPr>
      <w:b/>
      <w:bCs/>
      <w:kern w:val="0"/>
      <w:sz w:val="28"/>
      <w:szCs w:val="28"/>
    </w:rPr>
  </w:style>
  <w:style w:type="paragraph" w:customStyle="1" w:styleId="33">
    <w:name w:val="D&amp;L"/>
    <w:basedOn w:val="16"/>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4">
    <w:name w:val="页眉 Char"/>
    <w:basedOn w:val="26"/>
    <w:link w:val="16"/>
    <w:qFormat/>
    <w:uiPriority w:val="99"/>
    <w:rPr>
      <w:rFonts w:ascii="@仿宋_GB2312" w:hAnsi="@仿宋_GB2312" w:eastAsia="@仿宋_GB2312" w:cs="@仿宋_GB2312"/>
      <w:sz w:val="18"/>
      <w:szCs w:val="18"/>
    </w:rPr>
  </w:style>
  <w:style w:type="character" w:customStyle="1" w:styleId="35">
    <w:name w:val="页脚 Char"/>
    <w:basedOn w:val="26"/>
    <w:link w:val="15"/>
    <w:qFormat/>
    <w:uiPriority w:val="99"/>
    <w:rPr>
      <w:rFonts w:ascii="@仿宋_GB2312" w:hAnsi="@仿宋_GB2312" w:eastAsia="@仿宋_GB2312" w:cs="@仿宋_GB2312"/>
      <w:sz w:val="18"/>
      <w:szCs w:val="18"/>
    </w:rPr>
  </w:style>
  <w:style w:type="character" w:customStyle="1" w:styleId="36">
    <w:name w:val="纯文本 Char"/>
    <w:link w:val="12"/>
    <w:qFormat/>
    <w:uiPriority w:val="0"/>
    <w:rPr>
      <w:rFonts w:ascii="宋体" w:hAnsi="Courier New"/>
    </w:rPr>
  </w:style>
  <w:style w:type="character" w:customStyle="1" w:styleId="37">
    <w:name w:val="纯文本 字符1"/>
    <w:basedOn w:val="26"/>
    <w:qFormat/>
    <w:uiPriority w:val="99"/>
    <w:rPr>
      <w:rFonts w:ascii="宋体" w:hAnsi="Courier New" w:cs="Courier New"/>
      <w:szCs w:val="20"/>
    </w:rPr>
  </w:style>
  <w:style w:type="character" w:customStyle="1" w:styleId="38">
    <w:name w:val="未处理的提及1"/>
    <w:basedOn w:val="26"/>
    <w:qFormat/>
    <w:uiPriority w:val="99"/>
    <w:rPr>
      <w:color w:val="605E5C"/>
      <w:shd w:val="clear" w:color="auto" w:fill="E1DFDD"/>
    </w:rPr>
  </w:style>
  <w:style w:type="paragraph" w:styleId="39">
    <w:name w:val="List Paragraph"/>
    <w:basedOn w:val="1"/>
    <w:qFormat/>
    <w:uiPriority w:val="34"/>
    <w:pPr>
      <w:ind w:firstLine="420" w:firstLineChars="200"/>
    </w:pPr>
  </w:style>
  <w:style w:type="paragraph" w:customStyle="1" w:styleId="40">
    <w:name w:val="Char Char Char Char Char Char Char1 Char"/>
    <w:basedOn w:val="1"/>
    <w:qFormat/>
    <w:uiPriority w:val="0"/>
    <w:rPr>
      <w:rFonts w:ascii="Arial" w:hAnsi="Arial" w:eastAsia="宋体" w:cs="Arial"/>
      <w:sz w:val="24"/>
    </w:rPr>
  </w:style>
  <w:style w:type="table" w:customStyle="1" w:styleId="41">
    <w:name w:val="网格表 1 浅色1"/>
    <w:basedOn w:val="24"/>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bottom w:val="single" w:color="666666" w:sz="12" w:space="0"/>
        </w:tcBorders>
      </w:tcPr>
    </w:tblStylePr>
    <w:tblStylePr w:type="lastRow">
      <w:rPr>
        <w:b/>
        <w:bCs/>
      </w:rPr>
      <w:tcPr>
        <w:tcBorders>
          <w:top w:val="double" w:color="666666" w:sz="2" w:space="0"/>
        </w:tcBorders>
      </w:tcPr>
    </w:tblStylePr>
    <w:tblStylePr w:type="firstCol">
      <w:rPr>
        <w:b/>
        <w:bCs/>
      </w:rPr>
    </w:tblStylePr>
    <w:tblStylePr w:type="lastCol">
      <w:rPr>
        <w:b/>
        <w:bCs/>
      </w:rPr>
    </w:tblStylePr>
  </w:style>
  <w:style w:type="character" w:customStyle="1" w:styleId="42">
    <w:name w:val="日期 字符"/>
    <w:basedOn w:val="26"/>
    <w:qFormat/>
    <w:uiPriority w:val="99"/>
    <w:rPr>
      <w:rFonts w:ascii="@仿宋_GB2312" w:hAnsi="@仿宋_GB2312" w:eastAsia="@仿宋_GB2312" w:cs="@仿宋_GB2312"/>
      <w:szCs w:val="20"/>
    </w:rPr>
  </w:style>
  <w:style w:type="character" w:customStyle="1" w:styleId="43">
    <w:name w:val="日期 Char"/>
    <w:link w:val="13"/>
    <w:qFormat/>
    <w:uiPriority w:val="0"/>
    <w:rPr>
      <w:rFonts w:ascii="Arial" w:hAnsi="Arial" w:eastAsia="宋体" w:cs="Arial"/>
      <w:b/>
      <w:sz w:val="28"/>
      <w:szCs w:val="20"/>
    </w:rPr>
  </w:style>
  <w:style w:type="character" w:customStyle="1" w:styleId="44">
    <w:name w:val="纯文本 Char1"/>
    <w:qFormat/>
    <w:uiPriority w:val="99"/>
    <w:rPr>
      <w:rFonts w:ascii="Arial" w:hAnsi="Arial" w:eastAsia="Arial"/>
      <w:kern w:val="2"/>
      <w:sz w:val="21"/>
      <w:lang w:val="en-US" w:eastAsia="zh-CN" w:bidi="ar-SA"/>
    </w:rPr>
  </w:style>
  <w:style w:type="character" w:customStyle="1" w:styleId="45">
    <w:name w:val="批注文字 Char"/>
    <w:basedOn w:val="26"/>
    <w:qFormat/>
    <w:uiPriority w:val="99"/>
    <w:rPr>
      <w:rFonts w:ascii="@仿宋_GB2312" w:hAnsi="@仿宋_GB2312" w:eastAsia="@仿宋_GB2312" w:cs="@仿宋_GB2312"/>
      <w:szCs w:val="20"/>
    </w:rPr>
  </w:style>
  <w:style w:type="character" w:customStyle="1" w:styleId="46">
    <w:name w:val="批注文字 Char1"/>
    <w:link w:val="7"/>
    <w:qFormat/>
    <w:uiPriority w:val="0"/>
    <w:rPr>
      <w:rFonts w:ascii="Arial" w:hAnsi="Arial" w:eastAsia="黑体" w:cs="Arial"/>
      <w:szCs w:val="20"/>
    </w:rPr>
  </w:style>
  <w:style w:type="character" w:customStyle="1" w:styleId="47">
    <w:name w:val="标题 1 Char"/>
    <w:basedOn w:val="26"/>
    <w:link w:val="2"/>
    <w:qFormat/>
    <w:uiPriority w:val="9"/>
    <w:rPr>
      <w:rFonts w:ascii="@仿宋_GB2312" w:hAnsi="@仿宋_GB2312" w:eastAsia="@仿宋_GB2312" w:cs="@仿宋_GB2312"/>
      <w:b/>
      <w:bCs/>
      <w:kern w:val="44"/>
      <w:sz w:val="44"/>
      <w:szCs w:val="44"/>
    </w:rPr>
  </w:style>
  <w:style w:type="paragraph" w:customStyle="1" w:styleId="48">
    <w:name w:val="TOC 标题1"/>
    <w:basedOn w:val="2"/>
    <w:next w:val="1"/>
    <w:qFormat/>
    <w:uiPriority w:val="39"/>
    <w:pPr>
      <w:widowControl/>
      <w:spacing w:before="480" w:after="0" w:line="276" w:lineRule="auto"/>
      <w:jc w:val="left"/>
      <w:outlineLvl w:val="9"/>
    </w:pPr>
    <w:rPr>
      <w:rFonts w:ascii="Cambria" w:hAnsi="Cambria" w:eastAsia="宋体" w:cs="宋体"/>
      <w:color w:val="376092"/>
      <w:kern w:val="0"/>
      <w:sz w:val="28"/>
      <w:szCs w:val="28"/>
    </w:rPr>
  </w:style>
  <w:style w:type="character" w:customStyle="1" w:styleId="49">
    <w:name w:val="标题 3 Char"/>
    <w:basedOn w:val="26"/>
    <w:link w:val="4"/>
    <w:qFormat/>
    <w:uiPriority w:val="9"/>
    <w:rPr>
      <w:rFonts w:ascii="@仿宋_GB2312" w:hAnsi="@仿宋_GB2312" w:eastAsia="@仿宋_GB2312" w:cs="@仿宋_GB2312"/>
      <w:b/>
      <w:bCs/>
      <w:sz w:val="32"/>
      <w:szCs w:val="32"/>
    </w:rPr>
  </w:style>
  <w:style w:type="character" w:customStyle="1" w:styleId="50">
    <w:name w:val="fontstyle01"/>
    <w:basedOn w:val="26"/>
    <w:qFormat/>
    <w:uiPriority w:val="0"/>
    <w:rPr>
      <w:rFonts w:hint="eastAsia" w:ascii="宋体" w:hAnsi="宋体" w:eastAsia="宋体"/>
      <w:color w:val="000000"/>
      <w:sz w:val="22"/>
      <w:szCs w:val="22"/>
    </w:rPr>
  </w:style>
  <w:style w:type="character" w:customStyle="1" w:styleId="51">
    <w:name w:val="fontstyle21"/>
    <w:basedOn w:val="26"/>
    <w:qFormat/>
    <w:uiPriority w:val="0"/>
    <w:rPr>
      <w:rFonts w:hint="default" w:ascii="TimesNewRomanPSMT" w:hAnsi="TimesNewRomanPSMT"/>
      <w:color w:val="000000"/>
      <w:sz w:val="22"/>
      <w:szCs w:val="22"/>
    </w:rPr>
  </w:style>
  <w:style w:type="character" w:customStyle="1" w:styleId="52">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53">
    <w:name w:val="标题 4 字符"/>
    <w:basedOn w:val="26"/>
    <w:qFormat/>
    <w:uiPriority w:val="9"/>
    <w:rPr>
      <w:rFonts w:ascii="Cambria" w:hAnsi="Cambria" w:eastAsia="宋体" w:cs="宋体"/>
      <w:b/>
      <w:bCs/>
      <w:sz w:val="28"/>
      <w:szCs w:val="28"/>
    </w:rPr>
  </w:style>
  <w:style w:type="character" w:customStyle="1" w:styleId="54">
    <w:name w:val="标题 4 Char1"/>
    <w:link w:val="5"/>
    <w:qFormat/>
    <w:uiPriority w:val="0"/>
    <w:rPr>
      <w:rFonts w:ascii="@仿宋_GB2312" w:hAnsi="@仿宋_GB2312" w:eastAsia="@仿宋_GB2312" w:cs="@仿宋_GB2312"/>
      <w:b/>
      <w:bCs/>
      <w:sz w:val="28"/>
      <w:szCs w:val="28"/>
    </w:rPr>
  </w:style>
  <w:style w:type="character" w:customStyle="1" w:styleId="55">
    <w:name w:val="标题 4 Char"/>
    <w:qFormat/>
    <w:uiPriority w:val="0"/>
    <w:rPr>
      <w:rFonts w:ascii="Arial" w:hAnsi="Arial" w:eastAsia="Arial"/>
      <w:b/>
      <w:bCs/>
      <w:kern w:val="2"/>
      <w:sz w:val="28"/>
      <w:szCs w:val="28"/>
      <w:lang w:val="en-US" w:eastAsia="zh-CN" w:bidi="ar-SA"/>
    </w:rPr>
  </w:style>
  <w:style w:type="table" w:customStyle="1" w:styleId="56">
    <w:name w:val="网格型1"/>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7">
    <w:name w:val="批注主题 Char"/>
    <w:basedOn w:val="46"/>
    <w:link w:val="21"/>
    <w:qFormat/>
    <w:uiPriority w:val="99"/>
    <w:rPr>
      <w:rFonts w:ascii="@仿宋_GB2312" w:hAnsi="@仿宋_GB2312" w:eastAsia="@仿宋_GB2312" w:cs="@仿宋_GB2312"/>
      <w:b/>
      <w:bCs/>
      <w:szCs w:val="20"/>
    </w:rPr>
  </w:style>
  <w:style w:type="table" w:customStyle="1" w:styleId="58">
    <w:name w:val="Table Normal"/>
    <w:qFormat/>
    <w:uiPriority w:val="0"/>
    <w:tblPr>
      <w:tblCellMar>
        <w:top w:w="0" w:type="dxa"/>
        <w:left w:w="0" w:type="dxa"/>
        <w:bottom w:w="0" w:type="dxa"/>
        <w:right w:w="0" w:type="dxa"/>
      </w:tblCellMar>
    </w:tblPr>
  </w:style>
  <w:style w:type="paragraph" w:customStyle="1" w:styleId="59">
    <w:name w:val="Table Text"/>
    <w:basedOn w:val="1"/>
    <w:qFormat/>
    <w:uiPriority w:val="0"/>
    <w:rPr>
      <w:rFonts w:ascii="Arial" w:hAnsi="Arial" w:eastAsia="Arial" w:cs="Arial"/>
      <w:sz w:val="21"/>
      <w:szCs w:val="21"/>
      <w:lang w:val="en-US" w:eastAsia="en-US" w:bidi="ar-SA"/>
    </w:rPr>
  </w:style>
  <w:style w:type="paragraph" w:customStyle="1" w:styleId="6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1">
    <w:name w:val="列出段落1"/>
    <w:basedOn w:val="1"/>
    <w:qFormat/>
    <w:uiPriority w:val="0"/>
    <w:pPr>
      <w:ind w:firstLine="420" w:firstLineChars="200"/>
    </w:pPr>
    <w:rPr>
      <w:szCs w:val="21"/>
    </w:rPr>
  </w:style>
  <w:style w:type="paragraph" w:customStyle="1" w:styleId="62">
    <w:name w:val="段"/>
    <w:next w:val="1"/>
    <w:qFormat/>
    <w:uiPriority w:val="0"/>
    <w:pPr>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customStyle="1" w:styleId="63">
    <w:name w:val="text-tag1"/>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40</Pages>
  <Words>91</Words>
  <Characters>113</Characters>
  <Paragraphs>1417</Paragraphs>
  <TotalTime>160</TotalTime>
  <ScaleCrop>false</ScaleCrop>
  <LinksUpToDate>false</LinksUpToDate>
  <CharactersWithSpaces>117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越努力越幸运</cp:lastModifiedBy>
  <cp:lastPrinted>2019-12-07T15:18:00Z</cp:lastPrinted>
  <dcterms:modified xsi:type="dcterms:W3CDTF">2026-09-10T01:50:35Z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3DF15FF99BBD4B049EAD95AD6FE0F9B8_13</vt:lpwstr>
  </property>
  <property fmtid="{D5CDD505-2E9C-101B-9397-08002B2CF9AE}" pid="4" name="KSOTemplateDocerSaveRecord">
    <vt:lpwstr>eyJoZGlkIjoiYjNjMGY0YjYwNjljZWJmMzA0NjVkZTgzYWI2ZTFlN2YiLCJ1c2VySWQiOiI0ODI4OTk0MDMifQ==</vt:lpwstr>
  </property>
</Properties>
</file>